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F24F" w14:textId="6F306400" w:rsidR="00EC5B8E" w:rsidRDefault="00000000">
      <w:pPr>
        <w:pStyle w:val="SmallTitle"/>
        <w:rPr>
          <w:sz w:val="28"/>
          <w:szCs w:val="28"/>
        </w:rPr>
      </w:pPr>
      <w:bookmarkStart w:id="0" w:name="_Hlk141185618"/>
      <w:r w:rsidRPr="00406814">
        <w:rPr>
          <w:sz w:val="28"/>
          <w:szCs w:val="28"/>
        </w:rPr>
        <w:t xml:space="preserve">Informacja o wykonaniu budżetu Gminy </w:t>
      </w:r>
      <w:r w:rsidR="00082511" w:rsidRPr="00406814">
        <w:rPr>
          <w:sz w:val="28"/>
          <w:szCs w:val="28"/>
        </w:rPr>
        <w:t xml:space="preserve">Bledzew </w:t>
      </w:r>
      <w:r w:rsidRPr="00406814">
        <w:rPr>
          <w:sz w:val="28"/>
          <w:szCs w:val="28"/>
        </w:rPr>
        <w:br/>
        <w:t>za II kwartał 2023 roku</w:t>
      </w:r>
    </w:p>
    <w:p w14:paraId="392F03EC" w14:textId="77777777" w:rsidR="00B36A50" w:rsidRPr="00406814" w:rsidRDefault="00B36A50">
      <w:pPr>
        <w:pStyle w:val="SmallTitle"/>
        <w:rPr>
          <w:sz w:val="28"/>
          <w:szCs w:val="28"/>
        </w:rPr>
      </w:pPr>
    </w:p>
    <w:p w14:paraId="17019DFD" w14:textId="6886891A" w:rsidR="00EC5B8E" w:rsidRPr="00B36A50" w:rsidRDefault="00000000" w:rsidP="006664B9">
      <w:p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>Zgodnie z art. 37 ust. 1 ustawy z dnia 27 sierpnia 2009 r. – o finansach publicznych (Dz. U. 2023 r.</w:t>
      </w:r>
      <w:r w:rsidR="00B36A50">
        <w:rPr>
          <w:sz w:val="24"/>
          <w:szCs w:val="24"/>
        </w:rPr>
        <w:t xml:space="preserve">          </w:t>
      </w:r>
      <w:r w:rsidRPr="00B36A50">
        <w:rPr>
          <w:sz w:val="24"/>
          <w:szCs w:val="24"/>
        </w:rPr>
        <w:t xml:space="preserve"> poz. 1270</w:t>
      </w:r>
      <w:r w:rsidR="00B36A50">
        <w:rPr>
          <w:sz w:val="24"/>
          <w:szCs w:val="24"/>
        </w:rPr>
        <w:t xml:space="preserve"> </w:t>
      </w:r>
      <w:r w:rsidRPr="00B36A50">
        <w:rPr>
          <w:sz w:val="24"/>
          <w:szCs w:val="24"/>
        </w:rPr>
        <w:t xml:space="preserve">z </w:t>
      </w:r>
      <w:proofErr w:type="spellStart"/>
      <w:r w:rsidRPr="00B36A50">
        <w:rPr>
          <w:sz w:val="24"/>
          <w:szCs w:val="24"/>
        </w:rPr>
        <w:t>późn</w:t>
      </w:r>
      <w:proofErr w:type="spellEnd"/>
      <w:r w:rsidRPr="00B36A50">
        <w:rPr>
          <w:sz w:val="24"/>
          <w:szCs w:val="24"/>
        </w:rPr>
        <w:t xml:space="preserve">. zm.) Wójt Gminy </w:t>
      </w:r>
      <w:r w:rsidR="00082511" w:rsidRPr="00B36A50">
        <w:rPr>
          <w:sz w:val="24"/>
          <w:szCs w:val="24"/>
        </w:rPr>
        <w:t>Bledzew</w:t>
      </w:r>
      <w:r w:rsidRPr="00B36A50">
        <w:rPr>
          <w:sz w:val="24"/>
          <w:szCs w:val="24"/>
        </w:rPr>
        <w:t xml:space="preserve"> podaje do publicznej wiadomości kwartalną informację</w:t>
      </w:r>
      <w:r w:rsidR="00B36A50">
        <w:rPr>
          <w:sz w:val="24"/>
          <w:szCs w:val="24"/>
        </w:rPr>
        <w:t xml:space="preserve">           </w:t>
      </w:r>
      <w:r w:rsidRPr="00B36A50">
        <w:rPr>
          <w:sz w:val="24"/>
          <w:szCs w:val="24"/>
        </w:rPr>
        <w:t xml:space="preserve"> o wykonaniu budżetu Gminy </w:t>
      </w:r>
      <w:r w:rsidR="00082511" w:rsidRPr="00B36A50">
        <w:rPr>
          <w:sz w:val="24"/>
          <w:szCs w:val="24"/>
        </w:rPr>
        <w:t>Bledzew</w:t>
      </w:r>
      <w:r w:rsidRPr="00B36A50">
        <w:rPr>
          <w:sz w:val="24"/>
          <w:szCs w:val="24"/>
        </w:rPr>
        <w:t>, w tym kwotę deficytu, oraz o udzielonych umorzeniach niepodatkowych należności budżetowych.</w:t>
      </w:r>
    </w:p>
    <w:p w14:paraId="13B0F3C1" w14:textId="77777777" w:rsidR="006664B9" w:rsidRDefault="006664B9" w:rsidP="006664B9">
      <w:pPr>
        <w:spacing w:after="0"/>
        <w:jc w:val="both"/>
        <w:rPr>
          <w:sz w:val="24"/>
          <w:szCs w:val="24"/>
        </w:rPr>
      </w:pPr>
    </w:p>
    <w:p w14:paraId="3416ABDB" w14:textId="7CDBB4B8" w:rsidR="00EC5B8E" w:rsidRPr="00B36A50" w:rsidRDefault="00000000" w:rsidP="006664B9">
      <w:p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 xml:space="preserve">Budżet Gminy w 2023 roku, który został przyjęty uchwałą Rady Gminy </w:t>
      </w:r>
      <w:r w:rsidR="00082511" w:rsidRPr="00B36A50">
        <w:rPr>
          <w:sz w:val="24"/>
          <w:szCs w:val="24"/>
        </w:rPr>
        <w:t>Bledzew N</w:t>
      </w:r>
      <w:r w:rsidRPr="00B36A50">
        <w:rPr>
          <w:sz w:val="24"/>
          <w:szCs w:val="24"/>
        </w:rPr>
        <w:t xml:space="preserve">r </w:t>
      </w:r>
      <w:r w:rsidR="00082511" w:rsidRPr="00B36A50">
        <w:rPr>
          <w:sz w:val="24"/>
          <w:szCs w:val="24"/>
        </w:rPr>
        <w:t xml:space="preserve">XLII/350/22 </w:t>
      </w:r>
      <w:r w:rsidR="00B36A50">
        <w:rPr>
          <w:sz w:val="24"/>
          <w:szCs w:val="24"/>
        </w:rPr>
        <w:t xml:space="preserve">                   </w:t>
      </w:r>
      <w:r w:rsidR="00082511" w:rsidRPr="00B36A50">
        <w:rPr>
          <w:sz w:val="24"/>
          <w:szCs w:val="24"/>
        </w:rPr>
        <w:t xml:space="preserve">z dnia 29 grudnia 2022 r. </w:t>
      </w:r>
      <w:r w:rsidRPr="00B36A50">
        <w:rPr>
          <w:sz w:val="24"/>
          <w:szCs w:val="24"/>
        </w:rPr>
        <w:t>zakładał:</w:t>
      </w:r>
    </w:p>
    <w:p w14:paraId="64CBCC32" w14:textId="6B3BF8F4" w:rsidR="00EC5B8E" w:rsidRPr="00B36A50" w:rsidRDefault="00000000" w:rsidP="006664B9">
      <w:pPr>
        <w:pStyle w:val="Akapitzlist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 xml:space="preserve">uzyskanie dochodów w kwocie </w:t>
      </w:r>
      <w:r w:rsidR="00082511" w:rsidRPr="00B36A50">
        <w:rPr>
          <w:sz w:val="24"/>
          <w:szCs w:val="24"/>
        </w:rPr>
        <w:t xml:space="preserve">20.548.552,22 </w:t>
      </w:r>
      <w:r w:rsidRPr="00B36A50">
        <w:rPr>
          <w:sz w:val="24"/>
          <w:szCs w:val="24"/>
        </w:rPr>
        <w:t>zł;</w:t>
      </w:r>
    </w:p>
    <w:p w14:paraId="7965799F" w14:textId="31984725" w:rsidR="00EC5B8E" w:rsidRPr="00B36A50" w:rsidRDefault="00000000" w:rsidP="006664B9">
      <w:pPr>
        <w:pStyle w:val="Akapitzlist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 xml:space="preserve">realizację wydatków na poziomie </w:t>
      </w:r>
      <w:r w:rsidR="00082511" w:rsidRPr="00B36A50">
        <w:rPr>
          <w:sz w:val="24"/>
          <w:szCs w:val="24"/>
        </w:rPr>
        <w:t>22.966.987,27</w:t>
      </w:r>
      <w:r w:rsidRPr="00B36A50">
        <w:rPr>
          <w:sz w:val="24"/>
          <w:szCs w:val="24"/>
        </w:rPr>
        <w:t xml:space="preserve"> zł;</w:t>
      </w:r>
    </w:p>
    <w:p w14:paraId="44F7B256" w14:textId="482069EF" w:rsidR="00EC5B8E" w:rsidRPr="00B36A50" w:rsidRDefault="00000000" w:rsidP="006664B9">
      <w:pPr>
        <w:pStyle w:val="Akapitzlist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 xml:space="preserve">pozyskanie przychodów w kwocie </w:t>
      </w:r>
      <w:r w:rsidR="00082511" w:rsidRPr="00B36A50">
        <w:rPr>
          <w:sz w:val="24"/>
          <w:szCs w:val="24"/>
        </w:rPr>
        <w:t xml:space="preserve"> 2.418.435,05 </w:t>
      </w:r>
      <w:r w:rsidRPr="00B36A50">
        <w:rPr>
          <w:sz w:val="24"/>
          <w:szCs w:val="24"/>
        </w:rPr>
        <w:t>zł;</w:t>
      </w:r>
    </w:p>
    <w:p w14:paraId="6D816488" w14:textId="5B090C44" w:rsidR="00EC5B8E" w:rsidRPr="00B36A50" w:rsidRDefault="00000000" w:rsidP="006664B9">
      <w:pPr>
        <w:pStyle w:val="Akapitzlist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 xml:space="preserve">realizację rozchodów </w:t>
      </w:r>
      <w:r w:rsidR="00082511" w:rsidRPr="00B36A50">
        <w:rPr>
          <w:sz w:val="24"/>
          <w:szCs w:val="24"/>
        </w:rPr>
        <w:t xml:space="preserve"> 0,00 </w:t>
      </w:r>
      <w:r w:rsidRPr="00B36A50">
        <w:rPr>
          <w:sz w:val="24"/>
          <w:szCs w:val="24"/>
        </w:rPr>
        <w:t>zł.</w:t>
      </w:r>
    </w:p>
    <w:p w14:paraId="0C070DFB" w14:textId="77777777" w:rsidR="006664B9" w:rsidRDefault="006664B9" w:rsidP="006664B9">
      <w:pPr>
        <w:spacing w:after="0"/>
        <w:jc w:val="both"/>
        <w:rPr>
          <w:sz w:val="24"/>
          <w:szCs w:val="24"/>
        </w:rPr>
      </w:pPr>
    </w:p>
    <w:p w14:paraId="17FAA6B3" w14:textId="0683DECD" w:rsidR="00EC5B8E" w:rsidRPr="00B36A50" w:rsidRDefault="00000000" w:rsidP="006664B9">
      <w:p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 xml:space="preserve">Różnica między planem dochodów a planem wydatków wynosiła </w:t>
      </w:r>
      <w:r w:rsidR="00082511" w:rsidRPr="00B36A50">
        <w:rPr>
          <w:sz w:val="24"/>
          <w:szCs w:val="24"/>
        </w:rPr>
        <w:t xml:space="preserve">2.418.435,05 zł </w:t>
      </w:r>
      <w:r w:rsidRPr="00B36A50">
        <w:rPr>
          <w:sz w:val="24"/>
          <w:szCs w:val="24"/>
        </w:rPr>
        <w:t xml:space="preserve">i stanowiła planowany deficyt budżetu Gminy </w:t>
      </w:r>
      <w:r w:rsidR="00082511" w:rsidRPr="00B36A50">
        <w:rPr>
          <w:sz w:val="24"/>
          <w:szCs w:val="24"/>
        </w:rPr>
        <w:t xml:space="preserve">Bledzew </w:t>
      </w:r>
      <w:r w:rsidRPr="00B36A50">
        <w:rPr>
          <w:sz w:val="24"/>
          <w:szCs w:val="24"/>
        </w:rPr>
        <w:t>na 2023 rok. Planowana na 2023 rok wartość przychodów stanowiła źródło pokrycia powstałego deficytu.</w:t>
      </w:r>
    </w:p>
    <w:p w14:paraId="08109A8F" w14:textId="77777777" w:rsidR="006664B9" w:rsidRDefault="006664B9" w:rsidP="006664B9">
      <w:pPr>
        <w:spacing w:after="0"/>
        <w:jc w:val="both"/>
        <w:rPr>
          <w:sz w:val="24"/>
          <w:szCs w:val="24"/>
        </w:rPr>
      </w:pPr>
    </w:p>
    <w:p w14:paraId="05D9ED15" w14:textId="09B1E0FA" w:rsidR="00EC5B8E" w:rsidRPr="00B36A50" w:rsidRDefault="00000000" w:rsidP="006664B9">
      <w:p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>W wyniku wprowadzonych zmian w pierwszym półroczu 2023 roku:</w:t>
      </w:r>
    </w:p>
    <w:p w14:paraId="1469001F" w14:textId="0C79DE32" w:rsidR="00EC5B8E" w:rsidRPr="00B36A50" w:rsidRDefault="00000000" w:rsidP="006664B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 xml:space="preserve">plan dochodów wzrósł o </w:t>
      </w:r>
      <w:r w:rsidR="00D63323" w:rsidRPr="00B36A50">
        <w:rPr>
          <w:sz w:val="24"/>
          <w:szCs w:val="24"/>
        </w:rPr>
        <w:t>2</w:t>
      </w:r>
      <w:r w:rsidR="006664B9">
        <w:rPr>
          <w:sz w:val="24"/>
          <w:szCs w:val="24"/>
        </w:rPr>
        <w:t>.</w:t>
      </w:r>
      <w:r w:rsidR="00D63323" w:rsidRPr="00B36A50">
        <w:rPr>
          <w:sz w:val="24"/>
          <w:szCs w:val="24"/>
        </w:rPr>
        <w:t>214</w:t>
      </w:r>
      <w:r w:rsidR="006664B9">
        <w:rPr>
          <w:sz w:val="24"/>
          <w:szCs w:val="24"/>
        </w:rPr>
        <w:t>.</w:t>
      </w:r>
      <w:r w:rsidR="00D63323" w:rsidRPr="00B36A50">
        <w:rPr>
          <w:sz w:val="24"/>
          <w:szCs w:val="24"/>
        </w:rPr>
        <w:t>894,82</w:t>
      </w:r>
      <w:r w:rsidRPr="00B36A50">
        <w:rPr>
          <w:sz w:val="24"/>
          <w:szCs w:val="24"/>
        </w:rPr>
        <w:t xml:space="preserve"> zł do kwoty </w:t>
      </w:r>
      <w:r w:rsidR="00D63323" w:rsidRPr="00B36A50">
        <w:rPr>
          <w:sz w:val="24"/>
          <w:szCs w:val="24"/>
        </w:rPr>
        <w:t>22</w:t>
      </w:r>
      <w:r w:rsidR="006664B9">
        <w:rPr>
          <w:sz w:val="24"/>
          <w:szCs w:val="24"/>
        </w:rPr>
        <w:t>.</w:t>
      </w:r>
      <w:r w:rsidR="00D63323" w:rsidRPr="00B36A50">
        <w:rPr>
          <w:sz w:val="24"/>
          <w:szCs w:val="24"/>
        </w:rPr>
        <w:t>763</w:t>
      </w:r>
      <w:r w:rsidR="006664B9">
        <w:rPr>
          <w:sz w:val="24"/>
          <w:szCs w:val="24"/>
        </w:rPr>
        <w:t>.</w:t>
      </w:r>
      <w:r w:rsidR="00D63323" w:rsidRPr="00B36A50">
        <w:rPr>
          <w:sz w:val="24"/>
          <w:szCs w:val="24"/>
        </w:rPr>
        <w:t>447,04</w:t>
      </w:r>
      <w:r w:rsidRPr="00B36A50">
        <w:rPr>
          <w:sz w:val="24"/>
          <w:szCs w:val="24"/>
        </w:rPr>
        <w:t xml:space="preserve"> zł;</w:t>
      </w:r>
    </w:p>
    <w:p w14:paraId="1B364F4D" w14:textId="75FF60A5" w:rsidR="00EC5B8E" w:rsidRPr="00B36A50" w:rsidRDefault="00000000" w:rsidP="006664B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 xml:space="preserve">plan wydatków wzrósł o </w:t>
      </w:r>
      <w:r w:rsidR="00D63323" w:rsidRPr="00B36A50">
        <w:rPr>
          <w:sz w:val="24"/>
          <w:szCs w:val="24"/>
        </w:rPr>
        <w:t>2</w:t>
      </w:r>
      <w:r w:rsidR="006664B9">
        <w:rPr>
          <w:sz w:val="24"/>
          <w:szCs w:val="24"/>
        </w:rPr>
        <w:t>.</w:t>
      </w:r>
      <w:r w:rsidR="00D63323" w:rsidRPr="00B36A50">
        <w:rPr>
          <w:sz w:val="24"/>
          <w:szCs w:val="24"/>
        </w:rPr>
        <w:t>177</w:t>
      </w:r>
      <w:r w:rsidR="006664B9">
        <w:rPr>
          <w:sz w:val="24"/>
          <w:szCs w:val="24"/>
        </w:rPr>
        <w:t>.</w:t>
      </w:r>
      <w:r w:rsidR="00D63323" w:rsidRPr="00B36A50">
        <w:rPr>
          <w:sz w:val="24"/>
          <w:szCs w:val="24"/>
        </w:rPr>
        <w:t>326,58</w:t>
      </w:r>
      <w:r w:rsidRPr="00B36A50">
        <w:rPr>
          <w:sz w:val="24"/>
          <w:szCs w:val="24"/>
        </w:rPr>
        <w:t xml:space="preserve"> zł do kwoty </w:t>
      </w:r>
      <w:r w:rsidR="00D63323" w:rsidRPr="00B36A50">
        <w:rPr>
          <w:sz w:val="24"/>
          <w:szCs w:val="24"/>
        </w:rPr>
        <w:t>25</w:t>
      </w:r>
      <w:r w:rsidR="006664B9">
        <w:rPr>
          <w:sz w:val="24"/>
          <w:szCs w:val="24"/>
        </w:rPr>
        <w:t>.</w:t>
      </w:r>
      <w:r w:rsidR="00D63323" w:rsidRPr="00B36A50">
        <w:rPr>
          <w:sz w:val="24"/>
          <w:szCs w:val="24"/>
        </w:rPr>
        <w:t>144</w:t>
      </w:r>
      <w:r w:rsidR="006664B9">
        <w:rPr>
          <w:sz w:val="24"/>
          <w:szCs w:val="24"/>
        </w:rPr>
        <w:t>.</w:t>
      </w:r>
      <w:r w:rsidR="00D63323" w:rsidRPr="00B36A50">
        <w:rPr>
          <w:sz w:val="24"/>
          <w:szCs w:val="24"/>
        </w:rPr>
        <w:t>313,85</w:t>
      </w:r>
      <w:r w:rsidRPr="00B36A50">
        <w:rPr>
          <w:sz w:val="24"/>
          <w:szCs w:val="24"/>
        </w:rPr>
        <w:t xml:space="preserve"> zł;</w:t>
      </w:r>
    </w:p>
    <w:p w14:paraId="0D8CECA1" w14:textId="511C640A" w:rsidR="00EC5B8E" w:rsidRPr="00B36A50" w:rsidRDefault="00000000" w:rsidP="006664B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 xml:space="preserve">plan przychodów </w:t>
      </w:r>
      <w:r w:rsidR="00D63323" w:rsidRPr="00B36A50">
        <w:rPr>
          <w:sz w:val="24"/>
          <w:szCs w:val="24"/>
        </w:rPr>
        <w:t xml:space="preserve">zmalał </w:t>
      </w:r>
      <w:r w:rsidRPr="00B36A50">
        <w:rPr>
          <w:sz w:val="24"/>
          <w:szCs w:val="24"/>
        </w:rPr>
        <w:t xml:space="preserve"> o </w:t>
      </w:r>
      <w:r w:rsidR="00D63323" w:rsidRPr="00B36A50">
        <w:rPr>
          <w:sz w:val="24"/>
          <w:szCs w:val="24"/>
        </w:rPr>
        <w:t>37</w:t>
      </w:r>
      <w:r w:rsidR="006664B9">
        <w:rPr>
          <w:sz w:val="24"/>
          <w:szCs w:val="24"/>
        </w:rPr>
        <w:t>.</w:t>
      </w:r>
      <w:r w:rsidR="00D63323" w:rsidRPr="00B36A50">
        <w:rPr>
          <w:sz w:val="24"/>
          <w:szCs w:val="24"/>
        </w:rPr>
        <w:t>568,24</w:t>
      </w:r>
      <w:r w:rsidRPr="00B36A50">
        <w:rPr>
          <w:sz w:val="24"/>
          <w:szCs w:val="24"/>
        </w:rPr>
        <w:t xml:space="preserve"> zł do kwoty </w:t>
      </w:r>
      <w:r w:rsidR="00D63323" w:rsidRPr="00B36A50">
        <w:rPr>
          <w:sz w:val="24"/>
          <w:szCs w:val="24"/>
        </w:rPr>
        <w:t>2</w:t>
      </w:r>
      <w:r w:rsidR="006664B9">
        <w:rPr>
          <w:sz w:val="24"/>
          <w:szCs w:val="24"/>
        </w:rPr>
        <w:t>.</w:t>
      </w:r>
      <w:r w:rsidR="00D63323" w:rsidRPr="00B36A50">
        <w:rPr>
          <w:sz w:val="24"/>
          <w:szCs w:val="24"/>
        </w:rPr>
        <w:t>380</w:t>
      </w:r>
      <w:r w:rsidR="006664B9">
        <w:rPr>
          <w:sz w:val="24"/>
          <w:szCs w:val="24"/>
        </w:rPr>
        <w:t>.</w:t>
      </w:r>
      <w:r w:rsidR="00D63323" w:rsidRPr="00B36A50">
        <w:rPr>
          <w:sz w:val="24"/>
          <w:szCs w:val="24"/>
        </w:rPr>
        <w:t>866,81</w:t>
      </w:r>
      <w:r w:rsidRPr="00B36A50">
        <w:rPr>
          <w:sz w:val="24"/>
          <w:szCs w:val="24"/>
        </w:rPr>
        <w:t xml:space="preserve"> zł;</w:t>
      </w:r>
    </w:p>
    <w:p w14:paraId="725EA40B" w14:textId="5A8DDB94" w:rsidR="00EC5B8E" w:rsidRPr="00B36A50" w:rsidRDefault="00000000" w:rsidP="006664B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 xml:space="preserve">plan rozchodów </w:t>
      </w:r>
      <w:r w:rsidR="00D63323" w:rsidRPr="00B36A50">
        <w:rPr>
          <w:sz w:val="24"/>
          <w:szCs w:val="24"/>
        </w:rPr>
        <w:t xml:space="preserve">nie uległ zmianie i wynosił </w:t>
      </w:r>
      <w:r w:rsidRPr="00B36A50">
        <w:rPr>
          <w:sz w:val="24"/>
          <w:szCs w:val="24"/>
        </w:rPr>
        <w:t>0,00 zł.</w:t>
      </w:r>
    </w:p>
    <w:p w14:paraId="4E5B1F76" w14:textId="77777777" w:rsidR="006664B9" w:rsidRDefault="006664B9" w:rsidP="006664B9">
      <w:pPr>
        <w:spacing w:after="0"/>
        <w:jc w:val="both"/>
        <w:rPr>
          <w:sz w:val="24"/>
          <w:szCs w:val="24"/>
        </w:rPr>
      </w:pPr>
    </w:p>
    <w:p w14:paraId="298E0B4F" w14:textId="154EE628" w:rsidR="00406814" w:rsidRPr="00B36A50" w:rsidRDefault="00406814" w:rsidP="006664B9">
      <w:p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 xml:space="preserve">Na dzień 30 czerwca 2023 roku budżet Gminy </w:t>
      </w:r>
      <w:r w:rsidR="00AA3628" w:rsidRPr="00B36A50">
        <w:rPr>
          <w:sz w:val="24"/>
          <w:szCs w:val="24"/>
        </w:rPr>
        <w:t>Bledzew</w:t>
      </w:r>
      <w:r w:rsidRPr="00B36A50">
        <w:rPr>
          <w:sz w:val="24"/>
          <w:szCs w:val="24"/>
        </w:rPr>
        <w:t xml:space="preserve"> zamknął się planowanym deficytem budżetowym</w:t>
      </w:r>
      <w:r w:rsidR="005C0233" w:rsidRPr="00B36A50">
        <w:rPr>
          <w:sz w:val="24"/>
          <w:szCs w:val="24"/>
        </w:rPr>
        <w:t xml:space="preserve"> </w:t>
      </w:r>
      <w:r w:rsidRPr="00B36A50">
        <w:rPr>
          <w:sz w:val="24"/>
          <w:szCs w:val="24"/>
        </w:rPr>
        <w:t>w kwocie 2</w:t>
      </w:r>
      <w:r w:rsidR="006664B9">
        <w:rPr>
          <w:sz w:val="24"/>
          <w:szCs w:val="24"/>
        </w:rPr>
        <w:t>.</w:t>
      </w:r>
      <w:r w:rsidRPr="00B36A50">
        <w:rPr>
          <w:sz w:val="24"/>
          <w:szCs w:val="24"/>
        </w:rPr>
        <w:t>380</w:t>
      </w:r>
      <w:r w:rsidR="006664B9">
        <w:rPr>
          <w:sz w:val="24"/>
          <w:szCs w:val="24"/>
        </w:rPr>
        <w:t>.</w:t>
      </w:r>
      <w:r w:rsidRPr="00B36A50">
        <w:rPr>
          <w:sz w:val="24"/>
          <w:szCs w:val="24"/>
        </w:rPr>
        <w:t>866,81 zł stanowiącym różnicę między planem dochodów a planem wydatków.</w:t>
      </w:r>
    </w:p>
    <w:p w14:paraId="6AE62487" w14:textId="77777777" w:rsidR="006664B9" w:rsidRDefault="006664B9" w:rsidP="006664B9">
      <w:pPr>
        <w:spacing w:after="0"/>
        <w:jc w:val="both"/>
        <w:rPr>
          <w:sz w:val="24"/>
          <w:szCs w:val="24"/>
        </w:rPr>
      </w:pPr>
      <w:bookmarkStart w:id="1" w:name="_Hlk141183743"/>
    </w:p>
    <w:p w14:paraId="205CCBA8" w14:textId="18D2D29A" w:rsidR="00EC5B8E" w:rsidRDefault="00000000" w:rsidP="006664B9">
      <w:pPr>
        <w:spacing w:after="0"/>
        <w:jc w:val="both"/>
        <w:rPr>
          <w:sz w:val="24"/>
          <w:szCs w:val="24"/>
        </w:rPr>
      </w:pPr>
      <w:r w:rsidRPr="00B36A50">
        <w:rPr>
          <w:sz w:val="24"/>
          <w:szCs w:val="24"/>
        </w:rPr>
        <w:t>W ujęciu tabelarycznym wykonanie budżetu za I półrocze 2023 r. przedstawia poniższa tabela.</w:t>
      </w: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3901"/>
        <w:gridCol w:w="1500"/>
        <w:gridCol w:w="1500"/>
        <w:gridCol w:w="1370"/>
        <w:gridCol w:w="1029"/>
      </w:tblGrid>
      <w:tr w:rsidR="00F51828" w:rsidRPr="00B11588" w14:paraId="094B7339" w14:textId="77777777" w:rsidTr="006664B9">
        <w:trPr>
          <w:trHeight w:val="55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40F0CE" w14:textId="77777777" w:rsidR="00F51828" w:rsidRPr="00B36A50" w:rsidRDefault="00F51828" w:rsidP="00F51828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bookmarkStart w:id="2" w:name="_Hlk141336603"/>
            <w:r w:rsidRPr="00B36A50"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62FFC1" w14:textId="77777777" w:rsidR="00F51828" w:rsidRPr="00B36A50" w:rsidRDefault="00F51828" w:rsidP="00F51828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FA5EC4" w14:textId="44F91925" w:rsidR="00F51828" w:rsidRPr="00B36A50" w:rsidRDefault="00F51828" w:rsidP="00F51828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  <w:t>Plan na dzień 1.01.2023 r.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123BE6" w14:textId="77777777" w:rsidR="00F51828" w:rsidRPr="00B36A50" w:rsidRDefault="00F51828" w:rsidP="00F51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  <w:t>Plan na dzień 30.06.2023 r.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90D752" w14:textId="77777777" w:rsidR="00F51828" w:rsidRPr="00B36A50" w:rsidRDefault="00F51828" w:rsidP="00F51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  <w:t>Wykonanie</w:t>
            </w:r>
          </w:p>
          <w:p w14:paraId="39A14CCA" w14:textId="77777777" w:rsidR="00F51828" w:rsidRPr="00B36A50" w:rsidRDefault="00F51828" w:rsidP="00F51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  <w:t>(w zł)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0BBFB7" w14:textId="77777777" w:rsidR="00F51828" w:rsidRPr="00B36A50" w:rsidRDefault="00F51828" w:rsidP="00F51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  <w:t>Realizacja planu</w:t>
            </w:r>
          </w:p>
          <w:p w14:paraId="69C6C39E" w14:textId="77777777" w:rsidR="00F51828" w:rsidRPr="00B36A50" w:rsidRDefault="00F51828" w:rsidP="00F51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  <w:t>(w %)</w:t>
            </w:r>
          </w:p>
        </w:tc>
      </w:tr>
      <w:tr w:rsidR="00F51828" w:rsidRPr="00B11588" w14:paraId="5BD8DDE1" w14:textId="77777777" w:rsidTr="006664B9">
        <w:trPr>
          <w:trHeight w:val="57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8FF79F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bookmarkStart w:id="3" w:name="_Hlk141185762"/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1B6527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Dochody ogółem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047392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20 548 552,22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D258D1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22 763 447,04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A62D49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12 265 591,67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0123F774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53,88%</w:t>
            </w:r>
          </w:p>
        </w:tc>
      </w:tr>
      <w:bookmarkEnd w:id="3"/>
      <w:tr w:rsidR="00F51828" w:rsidRPr="00B11588" w14:paraId="19A738DA" w14:textId="77777777" w:rsidTr="006664B9">
        <w:trPr>
          <w:trHeight w:val="4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4D82F" w14:textId="77777777" w:rsidR="00F51828" w:rsidRPr="006664B9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6664B9">
              <w:rPr>
                <w:rFonts w:eastAsia="Times New Roman" w:cs="Times New Roman"/>
                <w:b/>
                <w:bCs/>
                <w:szCs w:val="20"/>
                <w:lang w:eastAsia="pl-PL"/>
              </w:rPr>
              <w:t>1.1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64109" w14:textId="77777777" w:rsidR="00F51828" w:rsidRPr="006664B9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6664B9">
              <w:rPr>
                <w:rFonts w:eastAsia="Times New Roman" w:cs="Times New Roman"/>
                <w:b/>
                <w:bCs/>
                <w:szCs w:val="20"/>
                <w:lang w:eastAsia="pl-PL"/>
              </w:rPr>
              <w:t>Dochody bieżące, z tego: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9FECA" w14:textId="77777777" w:rsidR="00F51828" w:rsidRPr="006664B9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6664B9">
              <w:rPr>
                <w:rFonts w:eastAsia="Times New Roman" w:cs="Times New Roman"/>
                <w:b/>
                <w:bCs/>
                <w:szCs w:val="20"/>
                <w:lang w:eastAsia="pl-PL"/>
              </w:rPr>
              <w:t>19 363 062,22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0636D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20 540 329,04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3107C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11 211 757,67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039C2E41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54,58%</w:t>
            </w:r>
          </w:p>
        </w:tc>
      </w:tr>
      <w:tr w:rsidR="00F51828" w:rsidRPr="00B11588" w14:paraId="41B99211" w14:textId="77777777" w:rsidTr="006664B9">
        <w:trPr>
          <w:trHeight w:val="44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CB061" w14:textId="77777777" w:rsidR="00F51828" w:rsidRPr="00B36A50" w:rsidRDefault="00F51828" w:rsidP="00D63323">
            <w:pPr>
              <w:spacing w:after="0" w:line="240" w:lineRule="auto"/>
              <w:ind w:hanging="67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1.1.1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74106" w14:textId="7B928312" w:rsidR="00F51828" w:rsidRPr="00B36A50" w:rsidRDefault="00F51828" w:rsidP="006664B9">
            <w:pPr>
              <w:spacing w:after="0" w:line="240" w:lineRule="auto"/>
              <w:ind w:left="148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dochody z tytułu udziału we wpływach z podatku dochodowego</w:t>
            </w:r>
            <w:r w:rsidR="00D63323"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 xml:space="preserve"> </w:t>
            </w: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 xml:space="preserve"> od osób fizycznych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6371B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1 897 037,00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CDBEE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1 897 037,00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DFA20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948 516,00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12116E1A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50,00%</w:t>
            </w:r>
          </w:p>
        </w:tc>
      </w:tr>
      <w:tr w:rsidR="00F51828" w:rsidRPr="00B11588" w14:paraId="021F6360" w14:textId="77777777" w:rsidTr="006664B9">
        <w:trPr>
          <w:trHeight w:val="134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57FFA" w14:textId="77777777" w:rsidR="00F51828" w:rsidRPr="00B36A50" w:rsidRDefault="00F51828" w:rsidP="00D63323">
            <w:pPr>
              <w:spacing w:after="0" w:line="240" w:lineRule="auto"/>
              <w:ind w:hanging="67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1.1.2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B5F94" w14:textId="0CBFF8E3" w:rsidR="00F51828" w:rsidRPr="00B36A50" w:rsidRDefault="00F51828" w:rsidP="006664B9">
            <w:pPr>
              <w:spacing w:after="0" w:line="240" w:lineRule="auto"/>
              <w:ind w:left="148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dochody z tytułu udziału we wpływach z podatku dochodowego</w:t>
            </w:r>
            <w:r w:rsidR="009B69EC"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 xml:space="preserve"> </w:t>
            </w: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 xml:space="preserve"> od osób 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E8EB9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15 512,00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646DD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15 512,00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98FA2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7 752,00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5D1823B9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49,97%</w:t>
            </w:r>
          </w:p>
        </w:tc>
      </w:tr>
      <w:tr w:rsidR="00F51828" w:rsidRPr="00B11588" w14:paraId="54A82ECE" w14:textId="77777777" w:rsidTr="006664B9">
        <w:trPr>
          <w:trHeight w:val="42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41453" w14:textId="77777777" w:rsidR="00F51828" w:rsidRPr="00B36A50" w:rsidRDefault="00F51828" w:rsidP="00D63323">
            <w:pPr>
              <w:spacing w:after="0" w:line="240" w:lineRule="auto"/>
              <w:ind w:hanging="67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1.1.3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C5B58" w14:textId="77777777" w:rsidR="00F51828" w:rsidRPr="00B36A50" w:rsidRDefault="00F51828" w:rsidP="006664B9">
            <w:pPr>
              <w:spacing w:after="0" w:line="240" w:lineRule="auto"/>
              <w:ind w:left="148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z subwencji ogólnej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9095D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5 903 841,00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90D8A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5 866 559,00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933B5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3 325 354,00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08919906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56,68%</w:t>
            </w:r>
          </w:p>
        </w:tc>
      </w:tr>
      <w:tr w:rsidR="00F51828" w:rsidRPr="00B11588" w14:paraId="0AD9D371" w14:textId="77777777" w:rsidTr="006664B9">
        <w:trPr>
          <w:trHeight w:val="41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87472" w14:textId="77777777" w:rsidR="00F51828" w:rsidRPr="00B36A50" w:rsidRDefault="00F51828" w:rsidP="00D63323">
            <w:pPr>
              <w:spacing w:after="0" w:line="240" w:lineRule="auto"/>
              <w:ind w:hanging="67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1.1.4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80A8F" w14:textId="7583454E" w:rsidR="00F51828" w:rsidRPr="00B36A50" w:rsidRDefault="00F51828" w:rsidP="006664B9">
            <w:pPr>
              <w:spacing w:after="0" w:line="240" w:lineRule="auto"/>
              <w:ind w:left="148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 xml:space="preserve">z tytułu dotacji i środków przeznaczonych </w:t>
            </w:r>
            <w:r w:rsidR="006664B9">
              <w:rPr>
                <w:rFonts w:eastAsia="Times New Roman" w:cs="Times New Roman"/>
                <w:i/>
                <w:iCs/>
                <w:szCs w:val="20"/>
                <w:lang w:eastAsia="pl-PL"/>
              </w:rPr>
              <w:t xml:space="preserve">   </w:t>
            </w: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na cele bieżące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A054A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2 843 375,00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9ACBE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3 537 543,77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4CC17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1 973 470,42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06266ABF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55,79%</w:t>
            </w:r>
          </w:p>
        </w:tc>
      </w:tr>
      <w:tr w:rsidR="00F51828" w:rsidRPr="00B11588" w14:paraId="37D500FF" w14:textId="77777777" w:rsidTr="006664B9">
        <w:trPr>
          <w:trHeight w:val="368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1566A" w14:textId="77777777" w:rsidR="00F51828" w:rsidRPr="00B36A50" w:rsidRDefault="00F51828" w:rsidP="00D63323">
            <w:pPr>
              <w:spacing w:after="0" w:line="240" w:lineRule="auto"/>
              <w:ind w:hanging="67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1.1.5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CFB79" w14:textId="77777777" w:rsidR="00F51828" w:rsidRPr="00B36A50" w:rsidRDefault="00F51828" w:rsidP="006664B9">
            <w:pPr>
              <w:spacing w:after="0" w:line="240" w:lineRule="auto"/>
              <w:ind w:left="148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pozostałe dochody bieżące, w tym: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81810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8 703 297,22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0061C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9 223 677,27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75A61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4 956 665,25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48531EE5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53,74%</w:t>
            </w:r>
          </w:p>
        </w:tc>
      </w:tr>
      <w:tr w:rsidR="00F51828" w:rsidRPr="00B11588" w14:paraId="75D224B4" w14:textId="77777777" w:rsidTr="006664B9">
        <w:trPr>
          <w:trHeight w:val="399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40D42" w14:textId="77777777" w:rsidR="00F51828" w:rsidRPr="00B36A50" w:rsidRDefault="00F51828" w:rsidP="00D63323">
            <w:pPr>
              <w:spacing w:after="0" w:line="240" w:lineRule="auto"/>
              <w:ind w:hanging="67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1.1.5.1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D4F8E" w14:textId="77777777" w:rsidR="00F51828" w:rsidRPr="00B36A50" w:rsidRDefault="00F51828" w:rsidP="006664B9">
            <w:pPr>
              <w:spacing w:after="0" w:line="240" w:lineRule="auto"/>
              <w:ind w:left="148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z podatku od nieruchomości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1C55E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4 425 232,00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D70C4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4 425 232,00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BE795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2 535 235,59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32800F27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57,29%</w:t>
            </w:r>
          </w:p>
        </w:tc>
      </w:tr>
      <w:tr w:rsidR="00F51828" w:rsidRPr="00B11588" w14:paraId="1526A6B1" w14:textId="77777777" w:rsidTr="006664B9">
        <w:trPr>
          <w:trHeight w:val="55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70FEB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lastRenderedPageBreak/>
              <w:t>1.2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A6E07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Dochody majątkowe, w tym: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C0391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1 185 490,00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1C9A2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bookmarkStart w:id="4" w:name="_Hlk141185908"/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2 223 118,00</w:t>
            </w:r>
            <w:bookmarkEnd w:id="4"/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144A3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1 053 834,00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5E62F38F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47,40%</w:t>
            </w:r>
          </w:p>
        </w:tc>
      </w:tr>
      <w:tr w:rsidR="00F51828" w:rsidRPr="00B11588" w14:paraId="43B2B472" w14:textId="77777777" w:rsidTr="006664B9">
        <w:trPr>
          <w:trHeight w:val="41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5A3CE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1.2.1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9BE99" w14:textId="77777777" w:rsidR="00F51828" w:rsidRPr="00B36A50" w:rsidRDefault="00F51828" w:rsidP="00D63323">
            <w:pPr>
              <w:spacing w:after="0" w:line="240" w:lineRule="auto"/>
              <w:ind w:left="281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ze sprzedaży majątku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1C63B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98 170,00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E8652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98 170,00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3DD2B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16 206,00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16688B3F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16,51%</w:t>
            </w:r>
          </w:p>
        </w:tc>
      </w:tr>
      <w:tr w:rsidR="00F51828" w:rsidRPr="00B11588" w14:paraId="757D093E" w14:textId="77777777" w:rsidTr="006664B9">
        <w:trPr>
          <w:trHeight w:val="321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15AF9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1.2.2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BC8F7" w14:textId="77777777" w:rsidR="00F51828" w:rsidRPr="00B36A50" w:rsidRDefault="00F51828" w:rsidP="00D63323">
            <w:pPr>
              <w:spacing w:after="0" w:line="240" w:lineRule="auto"/>
              <w:ind w:left="281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z tytułu dotacji oraz środków przeznaczonych na inwestycje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982A6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1 087 320,00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5E8C0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2 124 948,00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F14C5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1 037 628,00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06CCAFB3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i/>
                <w:iCs/>
                <w:szCs w:val="20"/>
                <w:lang w:eastAsia="pl-PL"/>
              </w:rPr>
              <w:t>48,83%</w:t>
            </w:r>
          </w:p>
        </w:tc>
      </w:tr>
      <w:tr w:rsidR="00F51828" w:rsidRPr="00B11588" w14:paraId="29AEC295" w14:textId="77777777" w:rsidTr="006664B9">
        <w:trPr>
          <w:trHeight w:val="361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D87799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710DF7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Wydatki ogółem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3166FE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22 966 987,27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48E2D5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25 144 313,85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32E6F0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11 445 434,54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07D24BB3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Cs w:val="20"/>
                <w:lang w:eastAsia="pl-PL"/>
              </w:rPr>
              <w:t>45,52%</w:t>
            </w:r>
          </w:p>
        </w:tc>
      </w:tr>
      <w:tr w:rsidR="00F51828" w:rsidRPr="00B11588" w14:paraId="2E58B7DC" w14:textId="77777777" w:rsidTr="006664B9">
        <w:trPr>
          <w:trHeight w:val="442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B9C95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2BA6D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6A737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19 363 062,22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9A49F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21 158 765,12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D5814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10 263 635,61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6638DBE4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48,51%</w:t>
            </w:r>
          </w:p>
        </w:tc>
      </w:tr>
      <w:tr w:rsidR="00F51828" w:rsidRPr="00B11588" w14:paraId="53DC3129" w14:textId="77777777" w:rsidTr="006664B9">
        <w:trPr>
          <w:trHeight w:val="406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23A55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48654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207E0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3 603 925,05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50187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3 985 548,73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87A20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1 181 798,93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5E71EE9F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29,65%</w:t>
            </w:r>
          </w:p>
        </w:tc>
      </w:tr>
      <w:tr w:rsidR="00F51828" w:rsidRPr="00B11588" w14:paraId="3310E21F" w14:textId="77777777" w:rsidTr="006664B9">
        <w:trPr>
          <w:trHeight w:val="411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56E536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A41100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Wynik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2CF24F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-2 418 435,05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9589B37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5" w:name="_Hlk141184989"/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-2 380 866,81</w:t>
            </w:r>
            <w:bookmarkEnd w:id="5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4750A4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6" w:name="_Hlk141184920"/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820 157,13</w:t>
            </w:r>
            <w:bookmarkEnd w:id="6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75ED7E3D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51828" w:rsidRPr="00B11588" w14:paraId="6BBBE986" w14:textId="77777777" w:rsidTr="006664B9">
        <w:trPr>
          <w:trHeight w:val="559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AA7C5D" w14:textId="1BA72D2B" w:rsidR="00F51828" w:rsidRPr="00B36A50" w:rsidRDefault="00406814" w:rsidP="007C4A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  <w:r w:rsidR="00F51828" w:rsidRPr="00B36A50">
              <w:rPr>
                <w:rFonts w:eastAsia="Times New Roman" w:cs="Times New Roman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71BFBF" w14:textId="77777777" w:rsidR="00F51828" w:rsidRPr="00B36A50" w:rsidRDefault="00F51828" w:rsidP="007C4A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sz w:val="18"/>
                <w:szCs w:val="18"/>
                <w:lang w:eastAsia="pl-PL"/>
              </w:rPr>
              <w:t>Różnica między dochodami bieżącymi a wydatkami bieżącymi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D5D290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FB9F6C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sz w:val="18"/>
                <w:szCs w:val="18"/>
                <w:lang w:eastAsia="pl-PL"/>
              </w:rPr>
              <w:t>-618 436,08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1FEC84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sz w:val="18"/>
                <w:szCs w:val="18"/>
                <w:lang w:eastAsia="pl-PL"/>
              </w:rPr>
              <w:t>948 122,06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  <w:hideMark/>
          </w:tcPr>
          <w:p w14:paraId="64C16E93" w14:textId="77777777" w:rsidR="00F51828" w:rsidRPr="00B36A50" w:rsidRDefault="00F51828" w:rsidP="007C4AA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36A50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bookmarkEnd w:id="1"/>
    </w:tbl>
    <w:p w14:paraId="1761EBD1" w14:textId="77777777" w:rsidR="00082511" w:rsidRDefault="00082511">
      <w:pPr>
        <w:jc w:val="both"/>
      </w:pPr>
    </w:p>
    <w:bookmarkEnd w:id="2"/>
    <w:p w14:paraId="633B9FAA" w14:textId="58BA3B05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Na koniec pierwszego półrocza wystąpiła nadwyżka budżetowa w kwocie </w:t>
      </w:r>
      <w:r w:rsidR="00406814" w:rsidRPr="006664B9">
        <w:rPr>
          <w:rFonts w:cs="Times New Roman"/>
          <w:sz w:val="24"/>
          <w:szCs w:val="24"/>
        </w:rPr>
        <w:t>820.157,13 zł</w:t>
      </w:r>
      <w:r w:rsidRPr="006664B9">
        <w:rPr>
          <w:rFonts w:cs="Times New Roman"/>
          <w:sz w:val="24"/>
          <w:szCs w:val="24"/>
        </w:rPr>
        <w:t>. Różnica między dochodami bieżącymi a wydatkami bieżącymi (wynik budżetu bieżącego) wynosi</w:t>
      </w:r>
      <w:r w:rsidR="00406814" w:rsidRPr="006664B9">
        <w:rPr>
          <w:rFonts w:cs="Times New Roman"/>
          <w:sz w:val="24"/>
          <w:szCs w:val="24"/>
        </w:rPr>
        <w:t>ł</w:t>
      </w:r>
      <w:r w:rsidRPr="006664B9">
        <w:rPr>
          <w:rFonts w:cs="Times New Roman"/>
          <w:sz w:val="24"/>
          <w:szCs w:val="24"/>
        </w:rPr>
        <w:t xml:space="preserve"> </w:t>
      </w:r>
      <w:r w:rsidR="00406814" w:rsidRPr="006664B9">
        <w:rPr>
          <w:rFonts w:cs="Times New Roman"/>
          <w:sz w:val="24"/>
          <w:szCs w:val="24"/>
        </w:rPr>
        <w:t xml:space="preserve">948 122,06 </w:t>
      </w:r>
      <w:r w:rsidRPr="006664B9">
        <w:rPr>
          <w:rFonts w:cs="Times New Roman"/>
          <w:sz w:val="24"/>
          <w:szCs w:val="24"/>
        </w:rPr>
        <w:t>zł.</w:t>
      </w:r>
    </w:p>
    <w:p w14:paraId="251FE8D3" w14:textId="77777777" w:rsidR="006664B9" w:rsidRDefault="006664B9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</w:p>
    <w:p w14:paraId="01691DB8" w14:textId="7BE89819" w:rsidR="00EC5B8E" w:rsidRPr="006664B9" w:rsidRDefault="00000000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Dochody</w:t>
      </w:r>
    </w:p>
    <w:p w14:paraId="38A5D0F8" w14:textId="6DEEAE15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Dochody budżetu Gminy w pierwszym półroczu 2023 roku wyniosły </w:t>
      </w:r>
      <w:r w:rsidR="009B69EC" w:rsidRPr="006664B9">
        <w:rPr>
          <w:rFonts w:cs="Times New Roman"/>
          <w:sz w:val="24"/>
          <w:szCs w:val="24"/>
        </w:rPr>
        <w:t>12</w:t>
      </w:r>
      <w:r w:rsid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>265</w:t>
      </w:r>
      <w:r w:rsid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 xml:space="preserve">591,67 </w:t>
      </w:r>
      <w:r w:rsidRPr="006664B9">
        <w:rPr>
          <w:rFonts w:cs="Times New Roman"/>
          <w:sz w:val="24"/>
          <w:szCs w:val="24"/>
        </w:rPr>
        <w:t xml:space="preserve">zł, a ich realizacja stanowiła </w:t>
      </w:r>
      <w:r w:rsidR="009B69EC" w:rsidRPr="006664B9">
        <w:rPr>
          <w:rFonts w:cs="Times New Roman"/>
          <w:sz w:val="24"/>
          <w:szCs w:val="24"/>
        </w:rPr>
        <w:t xml:space="preserve">53,88% </w:t>
      </w:r>
      <w:r w:rsidRPr="006664B9">
        <w:rPr>
          <w:rFonts w:cs="Times New Roman"/>
          <w:sz w:val="24"/>
          <w:szCs w:val="24"/>
        </w:rPr>
        <w:t xml:space="preserve">planu wynoszącego </w:t>
      </w:r>
      <w:r w:rsidR="009B69EC" w:rsidRPr="006664B9">
        <w:rPr>
          <w:rFonts w:cs="Times New Roman"/>
          <w:sz w:val="24"/>
          <w:szCs w:val="24"/>
        </w:rPr>
        <w:t>22</w:t>
      </w:r>
      <w:r w:rsid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>763</w:t>
      </w:r>
      <w:r w:rsid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 xml:space="preserve">447,04 </w:t>
      </w:r>
      <w:r w:rsidRPr="006664B9">
        <w:rPr>
          <w:rFonts w:cs="Times New Roman"/>
          <w:sz w:val="24"/>
          <w:szCs w:val="24"/>
        </w:rPr>
        <w:t>zł. W strukturze dochodów znaczący udział odgrywają dochody bieżące, które</w:t>
      </w:r>
      <w:r w:rsidR="005C0233" w:rsidRPr="006664B9">
        <w:rPr>
          <w:rFonts w:cs="Times New Roman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 xml:space="preserve">w pierwszym półroczu 2023 roku zostały wykonane </w:t>
      </w:r>
      <w:r w:rsidR="009B69EC" w:rsidRPr="006664B9">
        <w:rPr>
          <w:rFonts w:cs="Times New Roman"/>
          <w:sz w:val="24"/>
          <w:szCs w:val="24"/>
        </w:rPr>
        <w:t>w kwocie</w:t>
      </w:r>
      <w:r w:rsidR="006664B9" w:rsidRPr="006664B9">
        <w:rPr>
          <w:rFonts w:cs="Times New Roman"/>
          <w:sz w:val="24"/>
          <w:szCs w:val="24"/>
        </w:rPr>
        <w:t xml:space="preserve">                                            </w:t>
      </w:r>
      <w:r w:rsidR="009B69EC" w:rsidRPr="006664B9">
        <w:rPr>
          <w:rFonts w:cs="Times New Roman"/>
          <w:sz w:val="24"/>
          <w:szCs w:val="24"/>
        </w:rPr>
        <w:t xml:space="preserve"> 11</w:t>
      </w:r>
      <w:r w:rsidR="006664B9" w:rsidRP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>211</w:t>
      </w:r>
      <w:r w:rsidR="006664B9" w:rsidRP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>757,67</w:t>
      </w:r>
      <w:r w:rsidRPr="006664B9">
        <w:rPr>
          <w:rFonts w:cs="Times New Roman"/>
          <w:sz w:val="24"/>
          <w:szCs w:val="24"/>
        </w:rPr>
        <w:t xml:space="preserve"> zł, tj. w </w:t>
      </w:r>
      <w:r w:rsidR="009B69EC" w:rsidRPr="006664B9">
        <w:rPr>
          <w:rFonts w:cs="Times New Roman"/>
          <w:sz w:val="24"/>
          <w:szCs w:val="24"/>
        </w:rPr>
        <w:t>54,58%</w:t>
      </w:r>
      <w:r w:rsidRPr="006664B9">
        <w:rPr>
          <w:rFonts w:cs="Times New Roman"/>
          <w:sz w:val="24"/>
          <w:szCs w:val="24"/>
        </w:rPr>
        <w:t xml:space="preserve"> w stosunku do planu wynoszącego </w:t>
      </w:r>
      <w:r w:rsidR="009B69EC" w:rsidRPr="006664B9">
        <w:rPr>
          <w:rFonts w:cs="Times New Roman"/>
          <w:sz w:val="24"/>
          <w:szCs w:val="24"/>
        </w:rPr>
        <w:t>20</w:t>
      </w:r>
      <w:r w:rsidR="006664B9" w:rsidRP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>540</w:t>
      </w:r>
      <w:r w:rsidR="006664B9" w:rsidRP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>329,04</w:t>
      </w:r>
      <w:r w:rsidRPr="006664B9">
        <w:rPr>
          <w:rFonts w:cs="Times New Roman"/>
          <w:sz w:val="24"/>
          <w:szCs w:val="24"/>
        </w:rPr>
        <w:t xml:space="preserve"> zł. Dochody majątkowe Gminy </w:t>
      </w:r>
      <w:r w:rsidR="009B69EC" w:rsidRPr="006664B9">
        <w:rPr>
          <w:rFonts w:cs="Times New Roman"/>
          <w:sz w:val="24"/>
          <w:szCs w:val="24"/>
        </w:rPr>
        <w:t>Bledzew</w:t>
      </w:r>
      <w:r w:rsidRPr="006664B9">
        <w:rPr>
          <w:rFonts w:cs="Times New Roman"/>
          <w:sz w:val="24"/>
          <w:szCs w:val="24"/>
        </w:rPr>
        <w:t xml:space="preserve"> w pierwszym półroczu 2023 roku zostały wykonane </w:t>
      </w:r>
      <w:r w:rsidR="009B69EC" w:rsidRPr="006664B9">
        <w:rPr>
          <w:rFonts w:cs="Times New Roman"/>
          <w:sz w:val="24"/>
          <w:szCs w:val="24"/>
        </w:rPr>
        <w:t>w kwocie 1</w:t>
      </w:r>
      <w:r w:rsidR="006664B9" w:rsidRP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>053</w:t>
      </w:r>
      <w:r w:rsidR="006664B9" w:rsidRP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>834,00 zł</w:t>
      </w:r>
      <w:r w:rsidRPr="006664B9">
        <w:rPr>
          <w:rFonts w:cs="Times New Roman"/>
          <w:sz w:val="24"/>
          <w:szCs w:val="24"/>
        </w:rPr>
        <w:t xml:space="preserve">, tj. w </w:t>
      </w:r>
      <w:r w:rsidR="009B69EC" w:rsidRPr="006664B9">
        <w:rPr>
          <w:rFonts w:cs="Times New Roman"/>
          <w:sz w:val="24"/>
          <w:szCs w:val="24"/>
        </w:rPr>
        <w:t xml:space="preserve">47,40% </w:t>
      </w:r>
      <w:r w:rsidRPr="006664B9">
        <w:rPr>
          <w:rFonts w:cs="Times New Roman"/>
          <w:sz w:val="24"/>
          <w:szCs w:val="24"/>
        </w:rPr>
        <w:t xml:space="preserve">w stosunku do planu wynoszącego </w:t>
      </w:r>
      <w:r w:rsidR="009B69EC" w:rsidRPr="006664B9">
        <w:rPr>
          <w:rFonts w:cs="Times New Roman"/>
          <w:sz w:val="24"/>
          <w:szCs w:val="24"/>
        </w:rPr>
        <w:t>2</w:t>
      </w:r>
      <w:r w:rsidR="006664B9" w:rsidRP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>223</w:t>
      </w:r>
      <w:r w:rsidR="006664B9" w:rsidRPr="006664B9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 xml:space="preserve">118,00 </w:t>
      </w:r>
      <w:r w:rsidRPr="006664B9">
        <w:rPr>
          <w:rFonts w:cs="Times New Roman"/>
          <w:sz w:val="24"/>
          <w:szCs w:val="24"/>
        </w:rPr>
        <w:t>zł.</w:t>
      </w:r>
    </w:p>
    <w:p w14:paraId="3A8CE38C" w14:textId="77777777" w:rsidR="006664B9" w:rsidRPr="006664B9" w:rsidRDefault="006664B9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</w:p>
    <w:p w14:paraId="4C4E8B9E" w14:textId="1E7CF342" w:rsidR="00EC5B8E" w:rsidRPr="006664B9" w:rsidRDefault="00000000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Dotacje i dochody celowe bieżące</w:t>
      </w:r>
      <w:r w:rsidR="009B69EC" w:rsidRPr="006664B9">
        <w:rPr>
          <w:rFonts w:cs="Times New Roman"/>
          <w:sz w:val="24"/>
          <w:szCs w:val="24"/>
        </w:rPr>
        <w:t xml:space="preserve"> </w:t>
      </w:r>
    </w:p>
    <w:p w14:paraId="7C4F0350" w14:textId="031ACF5D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Biorąc pod uwagę podział dochodów bieżących wg źródeł ich pochodzenia znaczący udział </w:t>
      </w:r>
      <w:r w:rsidR="00F34FCB">
        <w:rPr>
          <w:rFonts w:cs="Times New Roman"/>
          <w:sz w:val="24"/>
          <w:szCs w:val="24"/>
        </w:rPr>
        <w:t xml:space="preserve">                                          </w:t>
      </w:r>
      <w:r w:rsidRPr="006664B9">
        <w:rPr>
          <w:rFonts w:cs="Times New Roman"/>
          <w:sz w:val="24"/>
          <w:szCs w:val="24"/>
        </w:rPr>
        <w:t xml:space="preserve">w pierwszym półroczu 2023 roku stanowiły dochody o charakterze celowym, które JST otrzymuje </w:t>
      </w:r>
      <w:r w:rsidR="00F34FCB">
        <w:rPr>
          <w:rFonts w:cs="Times New Roman"/>
          <w:sz w:val="24"/>
          <w:szCs w:val="24"/>
        </w:rPr>
        <w:t xml:space="preserve">                            </w:t>
      </w:r>
      <w:r w:rsidRPr="006664B9">
        <w:rPr>
          <w:rFonts w:cs="Times New Roman"/>
          <w:sz w:val="24"/>
          <w:szCs w:val="24"/>
        </w:rPr>
        <w:t xml:space="preserve">od podmiotów zewnętrznych. W pierwszym półroczu 2023 roku środki te zostały zaplanowane </w:t>
      </w:r>
      <w:r w:rsidR="00F34FCB">
        <w:rPr>
          <w:rFonts w:cs="Times New Roman"/>
          <w:sz w:val="24"/>
          <w:szCs w:val="24"/>
        </w:rPr>
        <w:t xml:space="preserve">                               </w:t>
      </w:r>
      <w:r w:rsidRPr="006664B9">
        <w:rPr>
          <w:rFonts w:cs="Times New Roman"/>
          <w:sz w:val="24"/>
          <w:szCs w:val="24"/>
        </w:rPr>
        <w:t xml:space="preserve">w kwocie </w:t>
      </w:r>
      <w:r w:rsidR="009B69EC" w:rsidRPr="006664B9">
        <w:rPr>
          <w:rFonts w:cs="Times New Roman"/>
          <w:sz w:val="24"/>
          <w:szCs w:val="24"/>
        </w:rPr>
        <w:t>3</w:t>
      </w:r>
      <w:r w:rsidR="00F34FCB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>537</w:t>
      </w:r>
      <w:r w:rsidR="00F34FCB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 xml:space="preserve">543,77 </w:t>
      </w:r>
      <w:r w:rsidRPr="006664B9">
        <w:rPr>
          <w:rFonts w:cs="Times New Roman"/>
          <w:sz w:val="24"/>
          <w:szCs w:val="24"/>
        </w:rPr>
        <w:t>zł,</w:t>
      </w:r>
      <w:r w:rsidR="00F34FCB">
        <w:rPr>
          <w:rFonts w:cs="Times New Roman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 xml:space="preserve">z kolei zrealizowane </w:t>
      </w:r>
      <w:r w:rsidR="009B69EC" w:rsidRPr="006664B9">
        <w:rPr>
          <w:rFonts w:cs="Times New Roman"/>
          <w:sz w:val="24"/>
          <w:szCs w:val="24"/>
        </w:rPr>
        <w:t>w kwocie 1</w:t>
      </w:r>
      <w:r w:rsidR="00F34FCB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>973</w:t>
      </w:r>
      <w:r w:rsidR="00F34FCB">
        <w:rPr>
          <w:rFonts w:cs="Times New Roman"/>
          <w:sz w:val="24"/>
          <w:szCs w:val="24"/>
        </w:rPr>
        <w:t>.</w:t>
      </w:r>
      <w:r w:rsidR="009B69EC" w:rsidRPr="006664B9">
        <w:rPr>
          <w:rFonts w:cs="Times New Roman"/>
          <w:sz w:val="24"/>
          <w:szCs w:val="24"/>
        </w:rPr>
        <w:t xml:space="preserve">470,42 </w:t>
      </w:r>
      <w:r w:rsidRPr="006664B9">
        <w:rPr>
          <w:rFonts w:cs="Times New Roman"/>
          <w:sz w:val="24"/>
          <w:szCs w:val="24"/>
        </w:rPr>
        <w:t xml:space="preserve">zł, co stanowi </w:t>
      </w:r>
      <w:r w:rsidR="009B69EC" w:rsidRPr="006664B9">
        <w:rPr>
          <w:rFonts w:cs="Times New Roman"/>
          <w:sz w:val="24"/>
          <w:szCs w:val="24"/>
        </w:rPr>
        <w:t>55,79%</w:t>
      </w:r>
      <w:r w:rsidRPr="006664B9">
        <w:rPr>
          <w:rFonts w:cs="Times New Roman"/>
          <w:sz w:val="24"/>
          <w:szCs w:val="24"/>
        </w:rPr>
        <w:t xml:space="preserve"> realizacji planu, przy czym:</w:t>
      </w:r>
    </w:p>
    <w:p w14:paraId="7E3F08DF" w14:textId="21702B10" w:rsidR="00EC5B8E" w:rsidRPr="006664B9" w:rsidRDefault="00000000" w:rsidP="006664B9">
      <w:pPr>
        <w:pStyle w:val="Akapitzlist"/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dotacje celowe otrzymane z budżetu państwa na realizację zadań z zakresu administracji rządowej wyniosły </w:t>
      </w:r>
      <w:r w:rsidR="00203382" w:rsidRPr="006664B9">
        <w:rPr>
          <w:rFonts w:cs="Times New Roman"/>
          <w:sz w:val="24"/>
          <w:szCs w:val="24"/>
        </w:rPr>
        <w:t>1</w:t>
      </w:r>
      <w:r w:rsidR="00F34FCB">
        <w:rPr>
          <w:rFonts w:cs="Times New Roman"/>
          <w:sz w:val="24"/>
          <w:szCs w:val="24"/>
        </w:rPr>
        <w:t>.</w:t>
      </w:r>
      <w:r w:rsidR="00203382" w:rsidRPr="006664B9">
        <w:rPr>
          <w:rFonts w:cs="Times New Roman"/>
          <w:sz w:val="24"/>
          <w:szCs w:val="24"/>
        </w:rPr>
        <w:t>500</w:t>
      </w:r>
      <w:r w:rsidR="00F34FCB">
        <w:rPr>
          <w:rFonts w:cs="Times New Roman"/>
          <w:sz w:val="24"/>
          <w:szCs w:val="24"/>
        </w:rPr>
        <w:t>.</w:t>
      </w:r>
      <w:r w:rsidR="00203382" w:rsidRPr="006664B9">
        <w:rPr>
          <w:rFonts w:cs="Times New Roman"/>
          <w:sz w:val="24"/>
          <w:szCs w:val="24"/>
        </w:rPr>
        <w:t>021,69</w:t>
      </w:r>
      <w:r w:rsidRPr="006664B9">
        <w:rPr>
          <w:rFonts w:cs="Times New Roman"/>
          <w:sz w:val="24"/>
          <w:szCs w:val="24"/>
        </w:rPr>
        <w:t xml:space="preserve"> zł;</w:t>
      </w:r>
    </w:p>
    <w:p w14:paraId="53445A1B" w14:textId="031D39AE" w:rsidR="00EC5B8E" w:rsidRPr="006664B9" w:rsidRDefault="00000000" w:rsidP="006664B9">
      <w:pPr>
        <w:pStyle w:val="Akapitzlist"/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dotacje celowe otrzymane z budżetu państwa na zadania własne </w:t>
      </w:r>
      <w:r w:rsidR="00F34FCB">
        <w:rPr>
          <w:rFonts w:cs="Times New Roman"/>
          <w:sz w:val="24"/>
          <w:szCs w:val="24"/>
        </w:rPr>
        <w:t xml:space="preserve">wynosiły </w:t>
      </w:r>
      <w:r w:rsidR="00203382" w:rsidRPr="006664B9">
        <w:rPr>
          <w:rFonts w:cs="Times New Roman"/>
          <w:sz w:val="24"/>
          <w:szCs w:val="24"/>
        </w:rPr>
        <w:t>285</w:t>
      </w:r>
      <w:r w:rsidR="00F34FCB">
        <w:rPr>
          <w:rFonts w:cs="Times New Roman"/>
          <w:sz w:val="24"/>
          <w:szCs w:val="24"/>
        </w:rPr>
        <w:t>.</w:t>
      </w:r>
      <w:r w:rsidR="00203382" w:rsidRPr="006664B9">
        <w:rPr>
          <w:rFonts w:cs="Times New Roman"/>
          <w:sz w:val="24"/>
          <w:szCs w:val="24"/>
        </w:rPr>
        <w:t>099</w:t>
      </w:r>
      <w:r w:rsidRPr="006664B9">
        <w:rPr>
          <w:rFonts w:cs="Times New Roman"/>
          <w:sz w:val="24"/>
          <w:szCs w:val="24"/>
        </w:rPr>
        <w:t>,00 zł;</w:t>
      </w:r>
    </w:p>
    <w:p w14:paraId="0041AAD5" w14:textId="5805D175" w:rsidR="00EC5B8E" w:rsidRPr="006664B9" w:rsidRDefault="00000000" w:rsidP="006664B9">
      <w:pPr>
        <w:pStyle w:val="Akapitzlist"/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dochody z dotacji w ramach programów finansowanych z udziałem środków europejskich 1</w:t>
      </w:r>
      <w:r w:rsidR="00203382" w:rsidRPr="006664B9">
        <w:rPr>
          <w:rFonts w:cs="Times New Roman"/>
          <w:sz w:val="24"/>
          <w:szCs w:val="24"/>
        </w:rPr>
        <w:t>7</w:t>
      </w:r>
      <w:r w:rsidR="00F34FCB">
        <w:rPr>
          <w:rFonts w:cs="Times New Roman"/>
          <w:sz w:val="24"/>
          <w:szCs w:val="24"/>
        </w:rPr>
        <w:t>.</w:t>
      </w:r>
      <w:r w:rsidR="00203382" w:rsidRPr="006664B9">
        <w:rPr>
          <w:rFonts w:cs="Times New Roman"/>
          <w:sz w:val="24"/>
          <w:szCs w:val="24"/>
        </w:rPr>
        <w:t>028,66</w:t>
      </w:r>
      <w:r w:rsidRPr="006664B9">
        <w:rPr>
          <w:rFonts w:cs="Times New Roman"/>
          <w:sz w:val="24"/>
          <w:szCs w:val="24"/>
        </w:rPr>
        <w:t xml:space="preserve"> zł (</w:t>
      </w:r>
      <w:r w:rsidR="00203382" w:rsidRPr="006664B9">
        <w:rPr>
          <w:rFonts w:cs="Times New Roman"/>
          <w:sz w:val="24"/>
          <w:szCs w:val="24"/>
        </w:rPr>
        <w:t>w tym z tytułu dotacji i środków na finansowanie wydatków na realizację zadań finansowanych</w:t>
      </w:r>
      <w:r w:rsidR="005C0233" w:rsidRPr="006664B9">
        <w:rPr>
          <w:rFonts w:cs="Times New Roman"/>
          <w:sz w:val="24"/>
          <w:szCs w:val="24"/>
        </w:rPr>
        <w:t xml:space="preserve"> </w:t>
      </w:r>
      <w:r w:rsidR="00203382" w:rsidRPr="006664B9">
        <w:rPr>
          <w:rFonts w:cs="Times New Roman"/>
          <w:sz w:val="24"/>
          <w:szCs w:val="24"/>
        </w:rPr>
        <w:t>z udziałem środków,</w:t>
      </w:r>
      <w:r w:rsidR="005C0233" w:rsidRPr="006664B9">
        <w:rPr>
          <w:rFonts w:cs="Times New Roman"/>
          <w:sz w:val="24"/>
          <w:szCs w:val="24"/>
        </w:rPr>
        <w:t xml:space="preserve"> </w:t>
      </w:r>
      <w:r w:rsidR="00203382" w:rsidRPr="006664B9">
        <w:rPr>
          <w:rFonts w:cs="Times New Roman"/>
          <w:sz w:val="24"/>
          <w:szCs w:val="24"/>
        </w:rPr>
        <w:t xml:space="preserve">o których mowa w art. 5 ust. 1 pkt 2 i 3 </w:t>
      </w:r>
      <w:r w:rsidR="00F34FCB">
        <w:rPr>
          <w:rFonts w:cs="Times New Roman"/>
          <w:sz w:val="24"/>
          <w:szCs w:val="24"/>
        </w:rPr>
        <w:t xml:space="preserve"> - </w:t>
      </w:r>
      <w:r w:rsidRPr="006664B9">
        <w:rPr>
          <w:rFonts w:cs="Times New Roman"/>
          <w:sz w:val="24"/>
          <w:szCs w:val="24"/>
        </w:rPr>
        <w:t>1</w:t>
      </w:r>
      <w:r w:rsidR="00203382" w:rsidRPr="006664B9">
        <w:rPr>
          <w:rFonts w:cs="Times New Roman"/>
          <w:sz w:val="24"/>
          <w:szCs w:val="24"/>
        </w:rPr>
        <w:t>7</w:t>
      </w:r>
      <w:r w:rsidR="00F34FCB">
        <w:rPr>
          <w:rFonts w:cs="Times New Roman"/>
          <w:sz w:val="24"/>
          <w:szCs w:val="24"/>
        </w:rPr>
        <w:t>.</w:t>
      </w:r>
      <w:r w:rsidR="00203382" w:rsidRPr="006664B9">
        <w:rPr>
          <w:rFonts w:cs="Times New Roman"/>
          <w:sz w:val="24"/>
          <w:szCs w:val="24"/>
        </w:rPr>
        <w:t>028,66</w:t>
      </w:r>
      <w:r w:rsidRPr="006664B9">
        <w:rPr>
          <w:rFonts w:cs="Times New Roman"/>
          <w:sz w:val="24"/>
          <w:szCs w:val="24"/>
        </w:rPr>
        <w:t xml:space="preserve"> zł</w:t>
      </w:r>
      <w:r w:rsidR="005C0233" w:rsidRPr="006664B9">
        <w:rPr>
          <w:rFonts w:cs="Times New Roman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>);</w:t>
      </w:r>
    </w:p>
    <w:p w14:paraId="72436BDE" w14:textId="7BC8350E" w:rsidR="00EC5B8E" w:rsidRPr="006664B9" w:rsidRDefault="00000000" w:rsidP="006664B9">
      <w:pPr>
        <w:pStyle w:val="Akapitzlist"/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pozostałe dochody o charakterze celowym </w:t>
      </w:r>
      <w:r w:rsidR="00F34FCB">
        <w:rPr>
          <w:rFonts w:cs="Times New Roman"/>
          <w:sz w:val="24"/>
          <w:szCs w:val="24"/>
        </w:rPr>
        <w:t xml:space="preserve">wynosiły </w:t>
      </w:r>
      <w:r w:rsidR="00F06728" w:rsidRPr="006664B9">
        <w:rPr>
          <w:rFonts w:cs="Times New Roman"/>
          <w:sz w:val="24"/>
          <w:szCs w:val="24"/>
        </w:rPr>
        <w:t>171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>321,07</w:t>
      </w:r>
      <w:r w:rsidRPr="006664B9">
        <w:rPr>
          <w:rFonts w:cs="Times New Roman"/>
          <w:sz w:val="24"/>
          <w:szCs w:val="24"/>
        </w:rPr>
        <w:t xml:space="preserve"> zł</w:t>
      </w:r>
      <w:r w:rsidR="00F06728" w:rsidRPr="006664B9">
        <w:rPr>
          <w:rFonts w:cs="Times New Roman"/>
          <w:sz w:val="24"/>
          <w:szCs w:val="24"/>
        </w:rPr>
        <w:t>.</w:t>
      </w:r>
    </w:p>
    <w:p w14:paraId="5EC7ACBC" w14:textId="77777777" w:rsidR="00B36A50" w:rsidRPr="006664B9" w:rsidRDefault="00B36A50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</w:p>
    <w:p w14:paraId="1F8E1039" w14:textId="0B2D2A97" w:rsidR="00EC5B8E" w:rsidRPr="006664B9" w:rsidRDefault="00000000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Subwencja ogólna</w:t>
      </w:r>
    </w:p>
    <w:p w14:paraId="28112437" w14:textId="384CE177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Dochody z subwencji zostały zaplanowane</w:t>
      </w:r>
      <w:r w:rsidR="00F34FCB">
        <w:rPr>
          <w:rFonts w:cs="Times New Roman"/>
          <w:sz w:val="24"/>
          <w:szCs w:val="24"/>
        </w:rPr>
        <w:t xml:space="preserve"> w kwocie </w:t>
      </w:r>
      <w:r w:rsidR="00B80DCA" w:rsidRPr="006664B9">
        <w:rPr>
          <w:rFonts w:cs="Times New Roman"/>
          <w:sz w:val="24"/>
          <w:szCs w:val="24"/>
        </w:rPr>
        <w:t>5</w:t>
      </w:r>
      <w:r w:rsidR="00F34FCB">
        <w:rPr>
          <w:rFonts w:cs="Times New Roman"/>
          <w:sz w:val="24"/>
          <w:szCs w:val="24"/>
        </w:rPr>
        <w:t>.</w:t>
      </w:r>
      <w:r w:rsidR="00B80DCA" w:rsidRPr="006664B9">
        <w:rPr>
          <w:rFonts w:cs="Times New Roman"/>
          <w:sz w:val="24"/>
          <w:szCs w:val="24"/>
        </w:rPr>
        <w:t>866</w:t>
      </w:r>
      <w:r w:rsidR="00F34FCB">
        <w:rPr>
          <w:rFonts w:cs="Times New Roman"/>
          <w:sz w:val="24"/>
          <w:szCs w:val="24"/>
        </w:rPr>
        <w:t>.</w:t>
      </w:r>
      <w:r w:rsidR="00B80DCA" w:rsidRPr="006664B9">
        <w:rPr>
          <w:rFonts w:cs="Times New Roman"/>
          <w:sz w:val="24"/>
          <w:szCs w:val="24"/>
        </w:rPr>
        <w:t>559</w:t>
      </w:r>
      <w:r w:rsidRPr="006664B9">
        <w:rPr>
          <w:rFonts w:cs="Times New Roman"/>
          <w:sz w:val="24"/>
          <w:szCs w:val="24"/>
        </w:rPr>
        <w:t xml:space="preserve">,00zł, natomiast </w:t>
      </w:r>
      <w:r w:rsidR="00F34FCB" w:rsidRPr="00F34FCB">
        <w:rPr>
          <w:rFonts w:cs="Times New Roman"/>
          <w:sz w:val="24"/>
          <w:szCs w:val="24"/>
        </w:rPr>
        <w:t xml:space="preserve">w pierwszym półroczu 2023 roku </w:t>
      </w:r>
      <w:r w:rsidRPr="006664B9">
        <w:rPr>
          <w:rFonts w:cs="Times New Roman"/>
          <w:sz w:val="24"/>
          <w:szCs w:val="24"/>
        </w:rPr>
        <w:t xml:space="preserve">zrealizowane w kwocie </w:t>
      </w:r>
      <w:r w:rsidR="00F06728" w:rsidRPr="006664B9">
        <w:rPr>
          <w:rFonts w:cs="Times New Roman"/>
          <w:sz w:val="24"/>
          <w:szCs w:val="24"/>
        </w:rPr>
        <w:t>3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>325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>354</w:t>
      </w:r>
      <w:r w:rsidRPr="006664B9">
        <w:rPr>
          <w:rFonts w:cs="Times New Roman"/>
          <w:sz w:val="24"/>
          <w:szCs w:val="24"/>
        </w:rPr>
        <w:t>,00 zł, co stanowi 5</w:t>
      </w:r>
      <w:r w:rsidR="00F06728" w:rsidRPr="006664B9">
        <w:rPr>
          <w:rFonts w:cs="Times New Roman"/>
          <w:sz w:val="24"/>
          <w:szCs w:val="24"/>
        </w:rPr>
        <w:t>6,69</w:t>
      </w:r>
      <w:r w:rsidRPr="006664B9">
        <w:rPr>
          <w:rFonts w:cs="Times New Roman"/>
          <w:sz w:val="24"/>
          <w:szCs w:val="24"/>
        </w:rPr>
        <w:t xml:space="preserve">% realizacji planu, </w:t>
      </w:r>
      <w:r w:rsidR="00F34FCB">
        <w:rPr>
          <w:rFonts w:cs="Times New Roman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>przy czym:</w:t>
      </w:r>
    </w:p>
    <w:p w14:paraId="34A70CBA" w14:textId="616373C0" w:rsidR="00EC5B8E" w:rsidRPr="006664B9" w:rsidRDefault="00000000" w:rsidP="006664B9">
      <w:pPr>
        <w:pStyle w:val="Akapitzlist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dochody z subwencji oświatowej wyniosły </w:t>
      </w:r>
      <w:r w:rsidR="00F06728" w:rsidRPr="006664B9">
        <w:rPr>
          <w:rFonts w:cs="Times New Roman"/>
          <w:sz w:val="24"/>
          <w:szCs w:val="24"/>
        </w:rPr>
        <w:t>2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>091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 xml:space="preserve">064,00 </w:t>
      </w:r>
      <w:r w:rsidRPr="006664B9">
        <w:rPr>
          <w:rFonts w:cs="Times New Roman"/>
          <w:sz w:val="24"/>
          <w:szCs w:val="24"/>
        </w:rPr>
        <w:t>zł;</w:t>
      </w:r>
    </w:p>
    <w:p w14:paraId="079FFEA3" w14:textId="7367AD44" w:rsidR="00EC5B8E" w:rsidRPr="006664B9" w:rsidRDefault="00000000" w:rsidP="006664B9">
      <w:pPr>
        <w:pStyle w:val="Akapitzlist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dochody z subwencji wyrównawczej </w:t>
      </w:r>
      <w:r w:rsidR="00F06728" w:rsidRPr="006664B9">
        <w:rPr>
          <w:rFonts w:cs="Times New Roman"/>
          <w:sz w:val="24"/>
          <w:szCs w:val="24"/>
        </w:rPr>
        <w:t>1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>204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 xml:space="preserve">902,00 </w:t>
      </w:r>
      <w:r w:rsidRPr="006664B9">
        <w:rPr>
          <w:rFonts w:cs="Times New Roman"/>
          <w:sz w:val="24"/>
          <w:szCs w:val="24"/>
        </w:rPr>
        <w:t>zł;</w:t>
      </w:r>
    </w:p>
    <w:p w14:paraId="1FF85622" w14:textId="361C5051" w:rsidR="00EC5B8E" w:rsidRPr="006664B9" w:rsidRDefault="00000000" w:rsidP="006664B9">
      <w:pPr>
        <w:pStyle w:val="Akapitzlist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dochody z subwencji równoważącej </w:t>
      </w:r>
      <w:r w:rsidR="00F06728" w:rsidRPr="006664B9">
        <w:rPr>
          <w:rFonts w:cs="Times New Roman"/>
          <w:sz w:val="24"/>
          <w:szCs w:val="24"/>
        </w:rPr>
        <w:t>29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 xml:space="preserve">388,00 </w:t>
      </w:r>
      <w:r w:rsidRPr="006664B9">
        <w:rPr>
          <w:rFonts w:cs="Times New Roman"/>
          <w:sz w:val="24"/>
          <w:szCs w:val="24"/>
        </w:rPr>
        <w:t>zł.</w:t>
      </w:r>
    </w:p>
    <w:p w14:paraId="30205B08" w14:textId="77777777" w:rsidR="005C0233" w:rsidRPr="006664B9" w:rsidRDefault="005C0233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</w:p>
    <w:p w14:paraId="150D228E" w14:textId="7016A762" w:rsidR="00EC5B8E" w:rsidRPr="006664B9" w:rsidRDefault="00000000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Udział w podatkach stanowiących dochód budżetu państwa</w:t>
      </w:r>
    </w:p>
    <w:p w14:paraId="33F37103" w14:textId="3D8965BF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Udziały w podatkach stanowiących dochód budżetu państwa zaplanowane zostały w kwocie </w:t>
      </w:r>
      <w:r w:rsidR="00F06728" w:rsidRPr="006664B9">
        <w:rPr>
          <w:rFonts w:cs="Times New Roman"/>
          <w:sz w:val="24"/>
          <w:szCs w:val="24"/>
        </w:rPr>
        <w:t>1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>912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>549</w:t>
      </w:r>
      <w:r w:rsidRPr="006664B9">
        <w:rPr>
          <w:rFonts w:cs="Times New Roman"/>
          <w:sz w:val="24"/>
          <w:szCs w:val="24"/>
        </w:rPr>
        <w:t xml:space="preserve">,00 zł, zaś </w:t>
      </w:r>
      <w:r w:rsidR="00B80DCA" w:rsidRPr="006664B9">
        <w:rPr>
          <w:rFonts w:cs="Times New Roman"/>
          <w:sz w:val="24"/>
          <w:szCs w:val="24"/>
        </w:rPr>
        <w:t>z</w:t>
      </w:r>
      <w:r w:rsidRPr="006664B9">
        <w:rPr>
          <w:rFonts w:cs="Times New Roman"/>
          <w:sz w:val="24"/>
          <w:szCs w:val="24"/>
        </w:rPr>
        <w:t>realizowane w pierwszym półroczu 2023 roku w kwocie</w:t>
      </w:r>
      <w:r w:rsidR="001B4D62" w:rsidRPr="006664B9">
        <w:rPr>
          <w:rFonts w:cs="Times New Roman"/>
          <w:sz w:val="24"/>
          <w:szCs w:val="24"/>
        </w:rPr>
        <w:t xml:space="preserve"> </w:t>
      </w:r>
      <w:r w:rsidR="00F34FCB">
        <w:rPr>
          <w:rFonts w:cs="Times New Roman"/>
          <w:sz w:val="24"/>
          <w:szCs w:val="24"/>
        </w:rPr>
        <w:t xml:space="preserve"> </w:t>
      </w:r>
      <w:r w:rsidR="00F06728" w:rsidRPr="006664B9">
        <w:rPr>
          <w:rFonts w:cs="Times New Roman"/>
          <w:sz w:val="24"/>
          <w:szCs w:val="24"/>
        </w:rPr>
        <w:t>956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>268</w:t>
      </w:r>
      <w:r w:rsidRPr="006664B9">
        <w:rPr>
          <w:rFonts w:cs="Times New Roman"/>
          <w:sz w:val="24"/>
          <w:szCs w:val="24"/>
        </w:rPr>
        <w:t xml:space="preserve">,00 zł, </w:t>
      </w:r>
      <w:r w:rsidR="00F34FCB">
        <w:rPr>
          <w:rFonts w:cs="Times New Roman"/>
          <w:sz w:val="24"/>
          <w:szCs w:val="24"/>
        </w:rPr>
        <w:t xml:space="preserve">                                   </w:t>
      </w:r>
      <w:r w:rsidRPr="006664B9">
        <w:rPr>
          <w:rFonts w:cs="Times New Roman"/>
          <w:sz w:val="24"/>
          <w:szCs w:val="24"/>
        </w:rPr>
        <w:t>co stanowi 50,00% realizacji planu, przy czym:</w:t>
      </w:r>
    </w:p>
    <w:p w14:paraId="1D434840" w14:textId="751D284B" w:rsidR="00EC5B8E" w:rsidRPr="006664B9" w:rsidRDefault="00000000" w:rsidP="006664B9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dochody z tytułu wpływów z podatku od osób prawnych wyniosły </w:t>
      </w:r>
      <w:r w:rsidR="00F06728" w:rsidRPr="006664B9">
        <w:rPr>
          <w:rFonts w:cs="Times New Roman"/>
          <w:sz w:val="24"/>
          <w:szCs w:val="24"/>
        </w:rPr>
        <w:t>7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 xml:space="preserve">752,00 </w:t>
      </w:r>
      <w:r w:rsidRPr="006664B9">
        <w:rPr>
          <w:rFonts w:cs="Times New Roman"/>
          <w:sz w:val="24"/>
          <w:szCs w:val="24"/>
        </w:rPr>
        <w:t>zł;</w:t>
      </w:r>
    </w:p>
    <w:p w14:paraId="39376FA8" w14:textId="39F2E2BF" w:rsidR="00EC5B8E" w:rsidRPr="006664B9" w:rsidRDefault="00000000" w:rsidP="006664B9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dochody z tytułu wpływów z podatku od osób fizycznych wyniosły</w:t>
      </w:r>
      <w:r w:rsidR="00F06728" w:rsidRPr="006664B9">
        <w:rPr>
          <w:rFonts w:cs="Times New Roman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 xml:space="preserve"> </w:t>
      </w:r>
      <w:r w:rsidR="00F06728" w:rsidRPr="006664B9">
        <w:rPr>
          <w:rFonts w:cs="Times New Roman"/>
          <w:sz w:val="24"/>
          <w:szCs w:val="24"/>
        </w:rPr>
        <w:t>948</w:t>
      </w:r>
      <w:r w:rsidR="00F34FCB">
        <w:rPr>
          <w:rFonts w:cs="Times New Roman"/>
          <w:sz w:val="24"/>
          <w:szCs w:val="24"/>
        </w:rPr>
        <w:t>.</w:t>
      </w:r>
      <w:r w:rsidR="00F06728" w:rsidRPr="006664B9">
        <w:rPr>
          <w:rFonts w:cs="Times New Roman"/>
          <w:sz w:val="24"/>
          <w:szCs w:val="24"/>
        </w:rPr>
        <w:t xml:space="preserve">516,00 </w:t>
      </w:r>
      <w:r w:rsidRPr="006664B9">
        <w:rPr>
          <w:rFonts w:cs="Times New Roman"/>
          <w:sz w:val="24"/>
          <w:szCs w:val="24"/>
        </w:rPr>
        <w:t>zł.</w:t>
      </w:r>
    </w:p>
    <w:p w14:paraId="4738FB8A" w14:textId="77777777" w:rsidR="005C0233" w:rsidRPr="006664B9" w:rsidRDefault="005C0233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</w:p>
    <w:p w14:paraId="1EC3408C" w14:textId="6D6E9AE4" w:rsidR="00EC5B8E" w:rsidRPr="006664B9" w:rsidRDefault="00000000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Wpływy z podatków i opłat lokalnych</w:t>
      </w:r>
    </w:p>
    <w:p w14:paraId="0F25AFB2" w14:textId="77777777" w:rsidR="00F34FCB" w:rsidRDefault="00F34FCB" w:rsidP="00F34FCB">
      <w:pPr>
        <w:pStyle w:val="Nagwek5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FFD65" w14:textId="35F18FC8" w:rsidR="00EC5B8E" w:rsidRPr="006664B9" w:rsidRDefault="00000000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B9">
        <w:rPr>
          <w:rFonts w:ascii="Times New Roman" w:hAnsi="Times New Roman" w:cs="Times New Roman"/>
          <w:sz w:val="24"/>
          <w:szCs w:val="24"/>
        </w:rPr>
        <w:t>Podatek od nieruchomości</w:t>
      </w:r>
    </w:p>
    <w:p w14:paraId="05F8F0EC" w14:textId="2C24E1B5" w:rsidR="00EC5B8E" w:rsidRPr="006664B9" w:rsidRDefault="00E25817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Wpływy z podatku od nieruchomości w pierwszym półroczu 2023 roku zostały zrealizowane w kwocie 2</w:t>
      </w:r>
      <w:r w:rsidR="00F34FCB">
        <w:rPr>
          <w:rFonts w:cs="Times New Roman"/>
          <w:sz w:val="24"/>
          <w:szCs w:val="24"/>
        </w:rPr>
        <w:t>.</w:t>
      </w:r>
      <w:r w:rsidRPr="006664B9">
        <w:rPr>
          <w:rFonts w:cs="Times New Roman"/>
          <w:sz w:val="24"/>
          <w:szCs w:val="24"/>
        </w:rPr>
        <w:t>535</w:t>
      </w:r>
      <w:r w:rsidR="00F34FCB">
        <w:rPr>
          <w:rFonts w:cs="Times New Roman"/>
          <w:sz w:val="24"/>
          <w:szCs w:val="24"/>
        </w:rPr>
        <w:t>.</w:t>
      </w:r>
      <w:r w:rsidRPr="006664B9">
        <w:rPr>
          <w:rFonts w:cs="Times New Roman"/>
          <w:sz w:val="24"/>
          <w:szCs w:val="24"/>
        </w:rPr>
        <w:t>235,59 zł, w tym 1</w:t>
      </w:r>
      <w:r w:rsidR="00F34FCB">
        <w:rPr>
          <w:rFonts w:cs="Times New Roman"/>
          <w:sz w:val="24"/>
          <w:szCs w:val="24"/>
        </w:rPr>
        <w:t>.</w:t>
      </w:r>
      <w:r w:rsidRPr="006664B9">
        <w:rPr>
          <w:rFonts w:cs="Times New Roman"/>
          <w:sz w:val="24"/>
          <w:szCs w:val="24"/>
        </w:rPr>
        <w:t>981</w:t>
      </w:r>
      <w:r w:rsidR="00F34FCB">
        <w:rPr>
          <w:rFonts w:cs="Times New Roman"/>
          <w:sz w:val="24"/>
          <w:szCs w:val="24"/>
        </w:rPr>
        <w:t>.</w:t>
      </w:r>
      <w:r w:rsidRPr="006664B9">
        <w:rPr>
          <w:rFonts w:cs="Times New Roman"/>
          <w:sz w:val="24"/>
          <w:szCs w:val="24"/>
        </w:rPr>
        <w:t>646,38 zł od osób prawnych i 553</w:t>
      </w:r>
      <w:r w:rsidR="00F34FCB">
        <w:rPr>
          <w:rFonts w:cs="Times New Roman"/>
          <w:sz w:val="24"/>
          <w:szCs w:val="24"/>
        </w:rPr>
        <w:t>.</w:t>
      </w:r>
      <w:r w:rsidRPr="006664B9">
        <w:rPr>
          <w:rFonts w:cs="Times New Roman"/>
          <w:sz w:val="24"/>
          <w:szCs w:val="24"/>
        </w:rPr>
        <w:t>589,21 zł od osób fizycznych. Realizacja planu wynoszącego 4</w:t>
      </w:r>
      <w:r w:rsidR="00F34FCB">
        <w:rPr>
          <w:rFonts w:cs="Times New Roman"/>
          <w:sz w:val="24"/>
          <w:szCs w:val="24"/>
        </w:rPr>
        <w:t>.</w:t>
      </w:r>
      <w:r w:rsidRPr="006664B9">
        <w:rPr>
          <w:rFonts w:cs="Times New Roman"/>
          <w:sz w:val="24"/>
          <w:szCs w:val="24"/>
        </w:rPr>
        <w:t>425</w:t>
      </w:r>
      <w:r w:rsidR="00F34FCB">
        <w:rPr>
          <w:rFonts w:cs="Times New Roman"/>
          <w:sz w:val="24"/>
          <w:szCs w:val="24"/>
        </w:rPr>
        <w:t>.</w:t>
      </w:r>
      <w:r w:rsidRPr="006664B9">
        <w:rPr>
          <w:rFonts w:cs="Times New Roman"/>
          <w:sz w:val="24"/>
          <w:szCs w:val="24"/>
        </w:rPr>
        <w:t xml:space="preserve">232,00zł, stanowi 57,29%. Zaległości podatkowe na dzień </w:t>
      </w:r>
      <w:r w:rsidR="00F34FCB">
        <w:rPr>
          <w:rFonts w:cs="Times New Roman"/>
          <w:sz w:val="24"/>
          <w:szCs w:val="24"/>
        </w:rPr>
        <w:t xml:space="preserve">                                </w:t>
      </w:r>
      <w:r w:rsidRPr="006664B9">
        <w:rPr>
          <w:rFonts w:cs="Times New Roman"/>
          <w:sz w:val="24"/>
          <w:szCs w:val="24"/>
        </w:rPr>
        <w:t xml:space="preserve">30 czerwca 2023 roku wynoszą </w:t>
      </w:r>
      <w:r w:rsidR="000531B8" w:rsidRPr="006664B9">
        <w:rPr>
          <w:rFonts w:cs="Times New Roman"/>
          <w:sz w:val="24"/>
          <w:szCs w:val="24"/>
        </w:rPr>
        <w:t>84</w:t>
      </w:r>
      <w:r w:rsidR="00F34FCB">
        <w:rPr>
          <w:rFonts w:cs="Times New Roman"/>
          <w:sz w:val="24"/>
          <w:szCs w:val="24"/>
        </w:rPr>
        <w:t>.</w:t>
      </w:r>
      <w:r w:rsidR="000531B8" w:rsidRPr="006664B9">
        <w:rPr>
          <w:rFonts w:cs="Times New Roman"/>
          <w:sz w:val="24"/>
          <w:szCs w:val="24"/>
        </w:rPr>
        <w:t>079,96</w:t>
      </w:r>
      <w:r w:rsidRPr="006664B9">
        <w:rPr>
          <w:rFonts w:cs="Times New Roman"/>
          <w:sz w:val="24"/>
          <w:szCs w:val="24"/>
        </w:rPr>
        <w:t xml:space="preserve"> zł, w tym </w:t>
      </w:r>
      <w:r w:rsidR="000531B8" w:rsidRPr="006664B9">
        <w:rPr>
          <w:rFonts w:cs="Times New Roman"/>
          <w:sz w:val="24"/>
          <w:szCs w:val="24"/>
        </w:rPr>
        <w:t>4</w:t>
      </w:r>
      <w:r w:rsidR="00F34FCB">
        <w:rPr>
          <w:rFonts w:cs="Times New Roman"/>
          <w:sz w:val="24"/>
          <w:szCs w:val="24"/>
        </w:rPr>
        <w:t>.</w:t>
      </w:r>
      <w:r w:rsidR="000531B8" w:rsidRPr="006664B9">
        <w:rPr>
          <w:rFonts w:cs="Times New Roman"/>
          <w:sz w:val="24"/>
          <w:szCs w:val="24"/>
        </w:rPr>
        <w:t>791,00</w:t>
      </w:r>
      <w:r w:rsidRPr="006664B9">
        <w:rPr>
          <w:rFonts w:cs="Times New Roman"/>
          <w:sz w:val="24"/>
          <w:szCs w:val="24"/>
        </w:rPr>
        <w:t xml:space="preserve"> zł od osób prawnych i </w:t>
      </w:r>
      <w:r w:rsidR="000531B8" w:rsidRPr="006664B9">
        <w:rPr>
          <w:rFonts w:cs="Times New Roman"/>
          <w:sz w:val="24"/>
          <w:szCs w:val="24"/>
        </w:rPr>
        <w:t>79</w:t>
      </w:r>
      <w:r w:rsidR="00F34FCB">
        <w:rPr>
          <w:rFonts w:cs="Times New Roman"/>
          <w:sz w:val="24"/>
          <w:szCs w:val="24"/>
        </w:rPr>
        <w:t>.</w:t>
      </w:r>
      <w:r w:rsidR="000531B8" w:rsidRPr="006664B9">
        <w:rPr>
          <w:rFonts w:cs="Times New Roman"/>
          <w:sz w:val="24"/>
          <w:szCs w:val="24"/>
        </w:rPr>
        <w:t>288,96</w:t>
      </w:r>
      <w:r w:rsidRPr="006664B9">
        <w:rPr>
          <w:rFonts w:cs="Times New Roman"/>
          <w:sz w:val="24"/>
          <w:szCs w:val="24"/>
        </w:rPr>
        <w:t xml:space="preserve"> zł</w:t>
      </w:r>
      <w:r w:rsidR="00F34FCB">
        <w:rPr>
          <w:rFonts w:cs="Times New Roman"/>
          <w:sz w:val="24"/>
          <w:szCs w:val="24"/>
        </w:rPr>
        <w:t xml:space="preserve">                            </w:t>
      </w:r>
      <w:r w:rsidRPr="006664B9">
        <w:rPr>
          <w:rFonts w:cs="Times New Roman"/>
          <w:sz w:val="24"/>
          <w:szCs w:val="24"/>
        </w:rPr>
        <w:t xml:space="preserve"> od osób fizycznych. Z uwagi, iż Gmina w okresie sprawozdawczym nie stosowała maksymalnych stawek wynikających z obwieszczenia MF, skutki obniżenia górnych stawek podatków </w:t>
      </w:r>
      <w:r w:rsidR="000531B8" w:rsidRPr="006664B9">
        <w:rPr>
          <w:rFonts w:cs="Times New Roman"/>
          <w:sz w:val="24"/>
          <w:szCs w:val="24"/>
        </w:rPr>
        <w:t>wynoszą   100.145,28</w:t>
      </w:r>
      <w:r w:rsidRPr="006664B9">
        <w:rPr>
          <w:rFonts w:cs="Times New Roman"/>
          <w:sz w:val="24"/>
          <w:szCs w:val="24"/>
        </w:rPr>
        <w:t xml:space="preserve"> zł.</w:t>
      </w:r>
    </w:p>
    <w:p w14:paraId="4782B465" w14:textId="77777777" w:rsidR="00F34FCB" w:rsidRDefault="00F34FCB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F506C" w14:textId="6408FA99" w:rsidR="00EC5B8E" w:rsidRPr="006664B9" w:rsidRDefault="00000000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B9">
        <w:rPr>
          <w:rFonts w:ascii="Times New Roman" w:hAnsi="Times New Roman" w:cs="Times New Roman"/>
          <w:sz w:val="24"/>
          <w:szCs w:val="24"/>
        </w:rPr>
        <w:t>Podatek rolny</w:t>
      </w:r>
    </w:p>
    <w:p w14:paraId="29FD0C0A" w14:textId="79F45438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Wpływy z podatku rolnego w pierwszym półroczu 2023 roku zostały zrealizowane w kwocie </w:t>
      </w:r>
      <w:r w:rsidR="000531B8" w:rsidRPr="006664B9">
        <w:rPr>
          <w:rFonts w:cs="Times New Roman"/>
          <w:sz w:val="24"/>
          <w:szCs w:val="24"/>
        </w:rPr>
        <w:t>587</w:t>
      </w:r>
      <w:r w:rsidR="00F34FCB">
        <w:rPr>
          <w:rFonts w:cs="Times New Roman"/>
          <w:sz w:val="24"/>
          <w:szCs w:val="24"/>
        </w:rPr>
        <w:t>.</w:t>
      </w:r>
      <w:r w:rsidR="000531B8" w:rsidRPr="006664B9">
        <w:rPr>
          <w:rFonts w:cs="Times New Roman"/>
          <w:sz w:val="24"/>
          <w:szCs w:val="24"/>
        </w:rPr>
        <w:t>125,93</w:t>
      </w:r>
      <w:r w:rsidRPr="006664B9">
        <w:rPr>
          <w:rFonts w:cs="Times New Roman"/>
          <w:sz w:val="24"/>
          <w:szCs w:val="24"/>
        </w:rPr>
        <w:t xml:space="preserve"> zł, </w:t>
      </w:r>
      <w:r w:rsidR="00F34FCB">
        <w:rPr>
          <w:rFonts w:cs="Times New Roman"/>
          <w:sz w:val="24"/>
          <w:szCs w:val="24"/>
        </w:rPr>
        <w:t>w</w:t>
      </w:r>
      <w:r w:rsidRPr="006664B9">
        <w:rPr>
          <w:rFonts w:cs="Times New Roman"/>
          <w:sz w:val="24"/>
          <w:szCs w:val="24"/>
        </w:rPr>
        <w:t xml:space="preserve"> tym </w:t>
      </w:r>
      <w:r w:rsidR="000531B8" w:rsidRPr="006664B9">
        <w:rPr>
          <w:rFonts w:cs="Times New Roman"/>
          <w:sz w:val="24"/>
          <w:szCs w:val="24"/>
        </w:rPr>
        <w:t>10</w:t>
      </w:r>
      <w:r w:rsidR="00F34FCB">
        <w:rPr>
          <w:rFonts w:cs="Times New Roman"/>
          <w:sz w:val="24"/>
          <w:szCs w:val="24"/>
        </w:rPr>
        <w:t>.</w:t>
      </w:r>
      <w:r w:rsidR="00E25817" w:rsidRPr="006664B9">
        <w:rPr>
          <w:rFonts w:cs="Times New Roman"/>
          <w:sz w:val="24"/>
          <w:szCs w:val="24"/>
        </w:rPr>
        <w:t>68</w:t>
      </w:r>
      <w:r w:rsidR="000531B8" w:rsidRPr="006664B9">
        <w:rPr>
          <w:rFonts w:cs="Times New Roman"/>
          <w:sz w:val="24"/>
          <w:szCs w:val="24"/>
        </w:rPr>
        <w:t>7,00</w:t>
      </w:r>
      <w:r w:rsidR="00F34FCB">
        <w:rPr>
          <w:rFonts w:cs="Times New Roman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 xml:space="preserve">zł od osób prawnych i </w:t>
      </w:r>
      <w:r w:rsidR="000531B8" w:rsidRPr="006664B9">
        <w:rPr>
          <w:rFonts w:cs="Times New Roman"/>
          <w:sz w:val="24"/>
          <w:szCs w:val="24"/>
        </w:rPr>
        <w:t>576</w:t>
      </w:r>
      <w:r w:rsidR="00F34FCB">
        <w:rPr>
          <w:rFonts w:cs="Times New Roman"/>
          <w:sz w:val="24"/>
          <w:szCs w:val="24"/>
        </w:rPr>
        <w:t>.</w:t>
      </w:r>
      <w:r w:rsidR="000531B8" w:rsidRPr="006664B9">
        <w:rPr>
          <w:rFonts w:cs="Times New Roman"/>
          <w:sz w:val="24"/>
          <w:szCs w:val="24"/>
        </w:rPr>
        <w:t>438,93</w:t>
      </w:r>
      <w:r w:rsidRPr="006664B9">
        <w:rPr>
          <w:rFonts w:cs="Times New Roman"/>
          <w:sz w:val="24"/>
          <w:szCs w:val="24"/>
        </w:rPr>
        <w:t xml:space="preserve"> zł od osób fizycznych. </w:t>
      </w:r>
      <w:r w:rsidR="00E25817" w:rsidRPr="006664B9">
        <w:rPr>
          <w:rFonts w:cs="Times New Roman"/>
          <w:sz w:val="24"/>
          <w:szCs w:val="24"/>
        </w:rPr>
        <w:t>Realizacja planu wynoszącego</w:t>
      </w:r>
      <w:r w:rsidR="00F34FCB">
        <w:rPr>
          <w:rFonts w:cs="Times New Roman"/>
          <w:sz w:val="24"/>
          <w:szCs w:val="24"/>
        </w:rPr>
        <w:t xml:space="preserve"> </w:t>
      </w:r>
      <w:r w:rsidR="00E25817" w:rsidRPr="006664B9">
        <w:rPr>
          <w:rFonts w:cs="Times New Roman"/>
          <w:sz w:val="24"/>
          <w:szCs w:val="24"/>
        </w:rPr>
        <w:t>1</w:t>
      </w:r>
      <w:r w:rsidR="00F34FCB">
        <w:rPr>
          <w:rFonts w:cs="Times New Roman"/>
          <w:sz w:val="24"/>
          <w:szCs w:val="24"/>
        </w:rPr>
        <w:t>.</w:t>
      </w:r>
      <w:r w:rsidR="00E25817" w:rsidRPr="006664B9">
        <w:rPr>
          <w:rFonts w:cs="Times New Roman"/>
          <w:sz w:val="24"/>
          <w:szCs w:val="24"/>
        </w:rPr>
        <w:t>100</w:t>
      </w:r>
      <w:r w:rsidR="00F34FCB">
        <w:rPr>
          <w:rFonts w:cs="Times New Roman"/>
          <w:sz w:val="24"/>
          <w:szCs w:val="24"/>
        </w:rPr>
        <w:t>.</w:t>
      </w:r>
      <w:r w:rsidR="00E25817" w:rsidRPr="006664B9">
        <w:rPr>
          <w:rFonts w:cs="Times New Roman"/>
          <w:sz w:val="24"/>
          <w:szCs w:val="24"/>
        </w:rPr>
        <w:t xml:space="preserve">034,00 zł stanowi 53,38%. </w:t>
      </w:r>
      <w:r w:rsidRPr="006664B9">
        <w:rPr>
          <w:rFonts w:cs="Times New Roman"/>
          <w:sz w:val="24"/>
          <w:szCs w:val="24"/>
        </w:rPr>
        <w:t xml:space="preserve">Zaległości podatkowe na dzień 30 czerwca 2023 roku wynoszą </w:t>
      </w:r>
      <w:r w:rsidR="000531B8" w:rsidRPr="006664B9">
        <w:rPr>
          <w:rFonts w:cs="Times New Roman"/>
          <w:sz w:val="24"/>
          <w:szCs w:val="24"/>
        </w:rPr>
        <w:t>38</w:t>
      </w:r>
      <w:r w:rsidR="00F34FCB">
        <w:rPr>
          <w:rFonts w:cs="Times New Roman"/>
          <w:sz w:val="24"/>
          <w:szCs w:val="24"/>
        </w:rPr>
        <w:t>.</w:t>
      </w:r>
      <w:r w:rsidR="000531B8" w:rsidRPr="006664B9">
        <w:rPr>
          <w:rFonts w:cs="Times New Roman"/>
          <w:sz w:val="24"/>
          <w:szCs w:val="24"/>
        </w:rPr>
        <w:t>426,18</w:t>
      </w:r>
      <w:r w:rsidRPr="006664B9">
        <w:rPr>
          <w:rFonts w:cs="Times New Roman"/>
          <w:sz w:val="24"/>
          <w:szCs w:val="24"/>
        </w:rPr>
        <w:t xml:space="preserve"> zł</w:t>
      </w:r>
      <w:r w:rsidR="00E25817" w:rsidRPr="006664B9">
        <w:rPr>
          <w:rFonts w:cs="Times New Roman"/>
          <w:sz w:val="24"/>
          <w:szCs w:val="24"/>
        </w:rPr>
        <w:t xml:space="preserve">  (</w:t>
      </w:r>
      <w:r w:rsidRPr="006664B9">
        <w:rPr>
          <w:rFonts w:cs="Times New Roman"/>
          <w:sz w:val="24"/>
          <w:szCs w:val="24"/>
        </w:rPr>
        <w:t>od osób fizycznych</w:t>
      </w:r>
      <w:r w:rsidR="00E25817" w:rsidRPr="006664B9">
        <w:rPr>
          <w:rFonts w:cs="Times New Roman"/>
          <w:sz w:val="24"/>
          <w:szCs w:val="24"/>
        </w:rPr>
        <w:t>)</w:t>
      </w:r>
      <w:r w:rsidRPr="006664B9">
        <w:rPr>
          <w:rFonts w:cs="Times New Roman"/>
          <w:sz w:val="24"/>
          <w:szCs w:val="24"/>
        </w:rPr>
        <w:t>.</w:t>
      </w:r>
    </w:p>
    <w:p w14:paraId="3814989A" w14:textId="77777777" w:rsidR="00BF603F" w:rsidRDefault="00BF603F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39613" w14:textId="19D91558" w:rsidR="00EC5B8E" w:rsidRPr="006664B9" w:rsidRDefault="00000000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B9">
        <w:rPr>
          <w:rFonts w:ascii="Times New Roman" w:hAnsi="Times New Roman" w:cs="Times New Roman"/>
          <w:sz w:val="24"/>
          <w:szCs w:val="24"/>
        </w:rPr>
        <w:t>Podatek leśny</w:t>
      </w:r>
    </w:p>
    <w:p w14:paraId="49614AD1" w14:textId="73C61BFB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Wpływy z podatku leśnego w pierwszym półroczu 2023 roku zostały zrealizowane w kwocie </w:t>
      </w:r>
      <w:r w:rsidR="009C2395" w:rsidRPr="006664B9">
        <w:rPr>
          <w:rFonts w:cs="Times New Roman"/>
          <w:sz w:val="24"/>
          <w:szCs w:val="24"/>
        </w:rPr>
        <w:t>378</w:t>
      </w:r>
      <w:r w:rsidR="00BF603F">
        <w:rPr>
          <w:rFonts w:cs="Times New Roman"/>
          <w:sz w:val="24"/>
          <w:szCs w:val="24"/>
        </w:rPr>
        <w:t>.</w:t>
      </w:r>
      <w:r w:rsidR="009C2395" w:rsidRPr="006664B9">
        <w:rPr>
          <w:rFonts w:cs="Times New Roman"/>
          <w:sz w:val="24"/>
          <w:szCs w:val="24"/>
        </w:rPr>
        <w:t>451,80</w:t>
      </w:r>
      <w:r w:rsidRPr="006664B9">
        <w:rPr>
          <w:rFonts w:cs="Times New Roman"/>
          <w:sz w:val="24"/>
          <w:szCs w:val="24"/>
        </w:rPr>
        <w:t xml:space="preserve"> zł, w tym</w:t>
      </w:r>
      <w:r w:rsidR="00E25817" w:rsidRPr="006664B9">
        <w:rPr>
          <w:rFonts w:cs="Times New Roman"/>
          <w:sz w:val="24"/>
          <w:szCs w:val="24"/>
        </w:rPr>
        <w:t xml:space="preserve"> 373</w:t>
      </w:r>
      <w:r w:rsidR="00BF603F">
        <w:rPr>
          <w:rFonts w:cs="Times New Roman"/>
          <w:sz w:val="24"/>
          <w:szCs w:val="24"/>
        </w:rPr>
        <w:t>.</w:t>
      </w:r>
      <w:r w:rsidR="00E25817" w:rsidRPr="006664B9">
        <w:rPr>
          <w:rFonts w:cs="Times New Roman"/>
          <w:sz w:val="24"/>
          <w:szCs w:val="24"/>
        </w:rPr>
        <w:t>214,</w:t>
      </w:r>
      <w:r w:rsidRPr="006664B9">
        <w:rPr>
          <w:rFonts w:cs="Times New Roman"/>
          <w:sz w:val="24"/>
          <w:szCs w:val="24"/>
        </w:rPr>
        <w:t xml:space="preserve">00 zł od osób prawnych i </w:t>
      </w:r>
      <w:r w:rsidR="00E25817" w:rsidRPr="006664B9">
        <w:rPr>
          <w:rFonts w:cs="Times New Roman"/>
          <w:sz w:val="24"/>
          <w:szCs w:val="24"/>
        </w:rPr>
        <w:t>5</w:t>
      </w:r>
      <w:r w:rsidR="00BF603F">
        <w:rPr>
          <w:rFonts w:cs="Times New Roman"/>
          <w:sz w:val="24"/>
          <w:szCs w:val="24"/>
        </w:rPr>
        <w:t>.</w:t>
      </w:r>
      <w:r w:rsidR="00E25817" w:rsidRPr="006664B9">
        <w:rPr>
          <w:rFonts w:cs="Times New Roman"/>
          <w:sz w:val="24"/>
          <w:szCs w:val="24"/>
        </w:rPr>
        <w:t>237,80</w:t>
      </w:r>
      <w:r w:rsidRPr="006664B9">
        <w:rPr>
          <w:rFonts w:cs="Times New Roman"/>
          <w:sz w:val="24"/>
          <w:szCs w:val="24"/>
        </w:rPr>
        <w:t xml:space="preserve"> zł od osób fizycznych. </w:t>
      </w:r>
      <w:r w:rsidR="00E25817" w:rsidRPr="006664B9">
        <w:rPr>
          <w:rFonts w:cs="Times New Roman"/>
          <w:sz w:val="24"/>
          <w:szCs w:val="24"/>
        </w:rPr>
        <w:t>Realizacja planu wynoszącego 1</w:t>
      </w:r>
      <w:r w:rsidR="00BF603F">
        <w:rPr>
          <w:rFonts w:cs="Times New Roman"/>
          <w:sz w:val="24"/>
          <w:szCs w:val="24"/>
        </w:rPr>
        <w:t>.</w:t>
      </w:r>
      <w:r w:rsidR="00E25817" w:rsidRPr="006664B9">
        <w:rPr>
          <w:rFonts w:cs="Times New Roman"/>
          <w:sz w:val="24"/>
          <w:szCs w:val="24"/>
        </w:rPr>
        <w:t>787</w:t>
      </w:r>
      <w:r w:rsidR="00BF603F">
        <w:rPr>
          <w:rFonts w:cs="Times New Roman"/>
          <w:sz w:val="24"/>
          <w:szCs w:val="24"/>
        </w:rPr>
        <w:t>.</w:t>
      </w:r>
      <w:r w:rsidR="00E25817" w:rsidRPr="006664B9">
        <w:rPr>
          <w:rFonts w:cs="Times New Roman"/>
          <w:sz w:val="24"/>
          <w:szCs w:val="24"/>
        </w:rPr>
        <w:t xml:space="preserve">700,00 zł,  stanowi 21,17%. </w:t>
      </w:r>
      <w:r w:rsidRPr="006664B9">
        <w:rPr>
          <w:rFonts w:cs="Times New Roman"/>
          <w:sz w:val="24"/>
          <w:szCs w:val="24"/>
        </w:rPr>
        <w:t>Zaległości podatkowe na dzień 30 czerwca 2023 roku wynoszą 6</w:t>
      </w:r>
      <w:r w:rsidR="009C2395" w:rsidRPr="006664B9">
        <w:rPr>
          <w:rFonts w:cs="Times New Roman"/>
          <w:sz w:val="24"/>
          <w:szCs w:val="24"/>
        </w:rPr>
        <w:t>1</w:t>
      </w:r>
      <w:r w:rsidRPr="006664B9">
        <w:rPr>
          <w:rFonts w:cs="Times New Roman"/>
          <w:sz w:val="24"/>
          <w:szCs w:val="24"/>
        </w:rPr>
        <w:t xml:space="preserve">9,00 zł, w tym </w:t>
      </w:r>
      <w:r w:rsidR="009C2395" w:rsidRPr="006664B9">
        <w:rPr>
          <w:rFonts w:cs="Times New Roman"/>
          <w:sz w:val="24"/>
          <w:szCs w:val="24"/>
        </w:rPr>
        <w:t>7</w:t>
      </w:r>
      <w:r w:rsidRPr="006664B9">
        <w:rPr>
          <w:rFonts w:cs="Times New Roman"/>
          <w:sz w:val="24"/>
          <w:szCs w:val="24"/>
        </w:rPr>
        <w:t>0,00 zł od osób prawnych</w:t>
      </w:r>
      <w:r w:rsidR="009C2395" w:rsidRPr="006664B9">
        <w:rPr>
          <w:rFonts w:cs="Times New Roman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 xml:space="preserve">i </w:t>
      </w:r>
      <w:r w:rsidR="009C2395" w:rsidRPr="006664B9">
        <w:rPr>
          <w:rFonts w:cs="Times New Roman"/>
          <w:sz w:val="24"/>
          <w:szCs w:val="24"/>
        </w:rPr>
        <w:t>54</w:t>
      </w:r>
      <w:r w:rsidRPr="006664B9">
        <w:rPr>
          <w:rFonts w:cs="Times New Roman"/>
          <w:sz w:val="24"/>
          <w:szCs w:val="24"/>
        </w:rPr>
        <w:t>9,00 zł od osób fizycznych.</w:t>
      </w:r>
    </w:p>
    <w:p w14:paraId="4B3E9B32" w14:textId="77777777" w:rsidR="00BF603F" w:rsidRDefault="00BF603F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00DC4" w14:textId="122C5ED4" w:rsidR="00EC5B8E" w:rsidRPr="006664B9" w:rsidRDefault="00000000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B9">
        <w:rPr>
          <w:rFonts w:ascii="Times New Roman" w:hAnsi="Times New Roman" w:cs="Times New Roman"/>
          <w:sz w:val="24"/>
          <w:szCs w:val="24"/>
        </w:rPr>
        <w:t>Podatek od środków transportowych</w:t>
      </w:r>
    </w:p>
    <w:p w14:paraId="2F9CE9E0" w14:textId="0060FD26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Wpływy z podatku od środków transportowych w pierwszym półroczu 2023 roku zostały zrealizowane w kwocie</w:t>
      </w:r>
      <w:r w:rsidR="00BF603F">
        <w:rPr>
          <w:rFonts w:cs="Times New Roman"/>
          <w:sz w:val="24"/>
          <w:szCs w:val="24"/>
        </w:rPr>
        <w:t xml:space="preserve"> </w:t>
      </w:r>
      <w:r w:rsidR="009C2395" w:rsidRPr="006664B9">
        <w:rPr>
          <w:rFonts w:cs="Times New Roman"/>
          <w:sz w:val="24"/>
          <w:szCs w:val="24"/>
        </w:rPr>
        <w:t>35</w:t>
      </w:r>
      <w:r w:rsidR="00BF603F">
        <w:rPr>
          <w:rFonts w:cs="Times New Roman"/>
          <w:sz w:val="24"/>
          <w:szCs w:val="24"/>
        </w:rPr>
        <w:t>.</w:t>
      </w:r>
      <w:r w:rsidR="009C2395" w:rsidRPr="006664B9">
        <w:rPr>
          <w:rFonts w:cs="Times New Roman"/>
          <w:sz w:val="24"/>
          <w:szCs w:val="24"/>
        </w:rPr>
        <w:t xml:space="preserve">714,23 </w:t>
      </w:r>
      <w:r w:rsidRPr="006664B9">
        <w:rPr>
          <w:rFonts w:cs="Times New Roman"/>
          <w:sz w:val="24"/>
          <w:szCs w:val="24"/>
        </w:rPr>
        <w:t xml:space="preserve">zł, w tym </w:t>
      </w:r>
      <w:r w:rsidR="00E25817" w:rsidRPr="006664B9">
        <w:rPr>
          <w:rFonts w:cs="Times New Roman"/>
          <w:sz w:val="24"/>
          <w:szCs w:val="24"/>
        </w:rPr>
        <w:t>4</w:t>
      </w:r>
      <w:r w:rsidR="00BF603F">
        <w:rPr>
          <w:rFonts w:cs="Times New Roman"/>
          <w:sz w:val="24"/>
          <w:szCs w:val="24"/>
        </w:rPr>
        <w:t>.</w:t>
      </w:r>
      <w:r w:rsidR="00E25817" w:rsidRPr="006664B9">
        <w:rPr>
          <w:rFonts w:cs="Times New Roman"/>
          <w:sz w:val="24"/>
          <w:szCs w:val="24"/>
        </w:rPr>
        <w:t>070</w:t>
      </w:r>
      <w:r w:rsidRPr="006664B9">
        <w:rPr>
          <w:rFonts w:cs="Times New Roman"/>
          <w:sz w:val="24"/>
          <w:szCs w:val="24"/>
        </w:rPr>
        <w:t>,</w:t>
      </w:r>
      <w:r w:rsidR="009C2395" w:rsidRPr="006664B9">
        <w:rPr>
          <w:rFonts w:cs="Times New Roman"/>
          <w:sz w:val="24"/>
          <w:szCs w:val="24"/>
        </w:rPr>
        <w:t>00</w:t>
      </w:r>
      <w:r w:rsidRPr="006664B9">
        <w:rPr>
          <w:rFonts w:cs="Times New Roman"/>
          <w:sz w:val="24"/>
          <w:szCs w:val="24"/>
        </w:rPr>
        <w:t xml:space="preserve"> zł od osób prawnych i </w:t>
      </w:r>
      <w:r w:rsidR="00E25817" w:rsidRPr="006664B9">
        <w:rPr>
          <w:rFonts w:cs="Times New Roman"/>
          <w:sz w:val="24"/>
          <w:szCs w:val="24"/>
        </w:rPr>
        <w:t>31</w:t>
      </w:r>
      <w:r w:rsidR="00BF603F">
        <w:rPr>
          <w:rFonts w:cs="Times New Roman"/>
          <w:sz w:val="24"/>
          <w:szCs w:val="24"/>
        </w:rPr>
        <w:t>.</w:t>
      </w:r>
      <w:r w:rsidR="00E25817" w:rsidRPr="006664B9">
        <w:rPr>
          <w:rFonts w:cs="Times New Roman"/>
          <w:sz w:val="24"/>
          <w:szCs w:val="24"/>
        </w:rPr>
        <w:t xml:space="preserve">644,23 </w:t>
      </w:r>
      <w:r w:rsidRPr="006664B9">
        <w:rPr>
          <w:rFonts w:cs="Times New Roman"/>
          <w:sz w:val="24"/>
          <w:szCs w:val="24"/>
        </w:rPr>
        <w:t xml:space="preserve">zł od osób fizycznych. </w:t>
      </w:r>
      <w:r w:rsidR="00E25817" w:rsidRPr="006664B9">
        <w:rPr>
          <w:rFonts w:cs="Times New Roman"/>
          <w:sz w:val="24"/>
          <w:szCs w:val="24"/>
        </w:rPr>
        <w:t>Realizacja planu wynoszącego 60</w:t>
      </w:r>
      <w:r w:rsidR="00BF603F">
        <w:rPr>
          <w:rFonts w:cs="Times New Roman"/>
          <w:sz w:val="24"/>
          <w:szCs w:val="24"/>
        </w:rPr>
        <w:t>.</w:t>
      </w:r>
      <w:r w:rsidR="00E25817" w:rsidRPr="006664B9">
        <w:rPr>
          <w:rFonts w:cs="Times New Roman"/>
          <w:sz w:val="24"/>
          <w:szCs w:val="24"/>
        </w:rPr>
        <w:t>270,00 zł</w:t>
      </w:r>
      <w:r w:rsidR="00BF603F">
        <w:rPr>
          <w:rFonts w:cs="Times New Roman"/>
          <w:sz w:val="24"/>
          <w:szCs w:val="24"/>
        </w:rPr>
        <w:t xml:space="preserve"> </w:t>
      </w:r>
      <w:r w:rsidR="00E25817" w:rsidRPr="006664B9">
        <w:rPr>
          <w:rFonts w:cs="Times New Roman"/>
          <w:sz w:val="24"/>
          <w:szCs w:val="24"/>
        </w:rPr>
        <w:t xml:space="preserve">stanowi 59,26%.  </w:t>
      </w:r>
      <w:r w:rsidRPr="006664B9">
        <w:rPr>
          <w:rFonts w:cs="Times New Roman"/>
          <w:sz w:val="24"/>
          <w:szCs w:val="24"/>
        </w:rPr>
        <w:t xml:space="preserve">Zaległości podatkowe na dzień </w:t>
      </w:r>
      <w:r w:rsidR="00BF603F">
        <w:rPr>
          <w:rFonts w:cs="Times New Roman"/>
          <w:sz w:val="24"/>
          <w:szCs w:val="24"/>
        </w:rPr>
        <w:t xml:space="preserve">                                 </w:t>
      </w:r>
      <w:r w:rsidRPr="006664B9">
        <w:rPr>
          <w:rFonts w:cs="Times New Roman"/>
          <w:sz w:val="24"/>
          <w:szCs w:val="24"/>
        </w:rPr>
        <w:t xml:space="preserve">30 czerwca 2023 roku wynoszą </w:t>
      </w:r>
      <w:r w:rsidR="009C2395" w:rsidRPr="006664B9">
        <w:rPr>
          <w:rFonts w:cs="Times New Roman"/>
          <w:sz w:val="24"/>
          <w:szCs w:val="24"/>
        </w:rPr>
        <w:t>3</w:t>
      </w:r>
      <w:r w:rsidR="00BF603F">
        <w:rPr>
          <w:rFonts w:cs="Times New Roman"/>
          <w:sz w:val="24"/>
          <w:szCs w:val="24"/>
        </w:rPr>
        <w:t>.</w:t>
      </w:r>
      <w:r w:rsidR="009C2395" w:rsidRPr="006664B9">
        <w:rPr>
          <w:rFonts w:cs="Times New Roman"/>
          <w:sz w:val="24"/>
          <w:szCs w:val="24"/>
        </w:rPr>
        <w:t>074,24</w:t>
      </w:r>
      <w:r w:rsidRPr="006664B9">
        <w:rPr>
          <w:rFonts w:cs="Times New Roman"/>
          <w:sz w:val="24"/>
          <w:szCs w:val="24"/>
        </w:rPr>
        <w:t xml:space="preserve"> zł</w:t>
      </w:r>
      <w:r w:rsidR="00E25817" w:rsidRPr="006664B9">
        <w:rPr>
          <w:rFonts w:cs="Times New Roman"/>
          <w:sz w:val="24"/>
          <w:szCs w:val="24"/>
        </w:rPr>
        <w:t xml:space="preserve"> (</w:t>
      </w:r>
      <w:r w:rsidRPr="006664B9">
        <w:rPr>
          <w:rFonts w:cs="Times New Roman"/>
          <w:sz w:val="24"/>
          <w:szCs w:val="24"/>
        </w:rPr>
        <w:t xml:space="preserve"> od osób fizycznych</w:t>
      </w:r>
      <w:r w:rsidR="00E25817" w:rsidRPr="006664B9">
        <w:rPr>
          <w:rFonts w:cs="Times New Roman"/>
          <w:sz w:val="24"/>
          <w:szCs w:val="24"/>
        </w:rPr>
        <w:t xml:space="preserve"> )</w:t>
      </w:r>
      <w:r w:rsidRPr="006664B9">
        <w:rPr>
          <w:rFonts w:cs="Times New Roman"/>
          <w:sz w:val="24"/>
          <w:szCs w:val="24"/>
        </w:rPr>
        <w:t>. Z uwagi, iż Gmina nie stosuje maksymalnych stawek wynikających</w:t>
      </w:r>
      <w:r w:rsidR="00BF603F">
        <w:rPr>
          <w:rFonts w:cs="Times New Roman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 xml:space="preserve">z obwieszczenia MF, skutki obniżenia górnych stawek podatków za okres sprawozdawczy </w:t>
      </w:r>
      <w:r w:rsidR="009C2395" w:rsidRPr="006664B9">
        <w:rPr>
          <w:rFonts w:cs="Times New Roman"/>
          <w:sz w:val="24"/>
          <w:szCs w:val="24"/>
        </w:rPr>
        <w:t>wynoszą  31</w:t>
      </w:r>
      <w:r w:rsidR="00BF603F">
        <w:rPr>
          <w:rFonts w:cs="Times New Roman"/>
          <w:sz w:val="24"/>
          <w:szCs w:val="24"/>
        </w:rPr>
        <w:t>.</w:t>
      </w:r>
      <w:r w:rsidR="009C2395" w:rsidRPr="006664B9">
        <w:rPr>
          <w:rFonts w:cs="Times New Roman"/>
          <w:sz w:val="24"/>
          <w:szCs w:val="24"/>
        </w:rPr>
        <w:t>149,60</w:t>
      </w:r>
      <w:r w:rsidR="00BF603F">
        <w:rPr>
          <w:rFonts w:cs="Times New Roman"/>
          <w:sz w:val="24"/>
          <w:szCs w:val="24"/>
        </w:rPr>
        <w:t xml:space="preserve"> </w:t>
      </w:r>
      <w:r w:rsidR="009C2395" w:rsidRPr="006664B9">
        <w:rPr>
          <w:rFonts w:cs="Times New Roman"/>
          <w:sz w:val="24"/>
          <w:szCs w:val="24"/>
        </w:rPr>
        <w:t>zł</w:t>
      </w:r>
      <w:r w:rsidRPr="006664B9">
        <w:rPr>
          <w:rFonts w:cs="Times New Roman"/>
          <w:sz w:val="24"/>
          <w:szCs w:val="24"/>
        </w:rPr>
        <w:t>.</w:t>
      </w:r>
    </w:p>
    <w:p w14:paraId="527DD6D1" w14:textId="77777777" w:rsidR="00BF603F" w:rsidRDefault="00BF603F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50FC4" w14:textId="23DC38DA" w:rsidR="00EC5B8E" w:rsidRPr="006664B9" w:rsidRDefault="00000000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B9">
        <w:rPr>
          <w:rFonts w:ascii="Times New Roman" w:hAnsi="Times New Roman" w:cs="Times New Roman"/>
          <w:sz w:val="24"/>
          <w:szCs w:val="24"/>
        </w:rPr>
        <w:t>Podatek od działalności gospodarczej osób fizycznych, opłacany w formie karty podatkowej</w:t>
      </w:r>
    </w:p>
    <w:p w14:paraId="6FFAA06D" w14:textId="5DD273CA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Wpływy z podatku od działalności gospodarczej osób fizycznych, opłacanego w formie karty podatkowej w pierwszym półroczu 2023 roku zostały zrealizowane w kwocie </w:t>
      </w:r>
      <w:r w:rsidR="009C2395" w:rsidRPr="006664B9">
        <w:rPr>
          <w:rFonts w:cs="Times New Roman"/>
          <w:sz w:val="24"/>
          <w:szCs w:val="24"/>
        </w:rPr>
        <w:t>760,00</w:t>
      </w:r>
      <w:r w:rsidRPr="006664B9">
        <w:rPr>
          <w:rFonts w:cs="Times New Roman"/>
          <w:sz w:val="24"/>
          <w:szCs w:val="24"/>
        </w:rPr>
        <w:t xml:space="preserve"> zł, co stanowi</w:t>
      </w:r>
      <w:r w:rsidR="00F62BE2" w:rsidRPr="006664B9">
        <w:rPr>
          <w:rFonts w:cs="Times New Roman"/>
          <w:sz w:val="24"/>
          <w:szCs w:val="24"/>
        </w:rPr>
        <w:t xml:space="preserve"> </w:t>
      </w:r>
      <w:r w:rsidR="009C2395" w:rsidRPr="006664B9">
        <w:rPr>
          <w:rFonts w:cs="Times New Roman"/>
          <w:sz w:val="24"/>
          <w:szCs w:val="24"/>
        </w:rPr>
        <w:t>273,38</w:t>
      </w:r>
      <w:r w:rsidRPr="006664B9">
        <w:rPr>
          <w:rFonts w:cs="Times New Roman"/>
          <w:sz w:val="24"/>
          <w:szCs w:val="24"/>
        </w:rPr>
        <w:t xml:space="preserve">% realizacji planu wynoszącego </w:t>
      </w:r>
      <w:r w:rsidR="00F62BE2" w:rsidRPr="006664B9">
        <w:rPr>
          <w:rFonts w:cs="Times New Roman"/>
          <w:sz w:val="24"/>
          <w:szCs w:val="24"/>
        </w:rPr>
        <w:t>278</w:t>
      </w:r>
      <w:r w:rsidRPr="006664B9">
        <w:rPr>
          <w:rFonts w:cs="Times New Roman"/>
          <w:sz w:val="24"/>
          <w:szCs w:val="24"/>
        </w:rPr>
        <w:t xml:space="preserve">,00 zł. Zaległości podatkowe na dzień 30 czerwca 2023 roku wynoszą </w:t>
      </w:r>
      <w:r w:rsidR="00F62BE2" w:rsidRPr="006664B9">
        <w:rPr>
          <w:rFonts w:cs="Times New Roman"/>
          <w:sz w:val="24"/>
          <w:szCs w:val="24"/>
        </w:rPr>
        <w:t>0,00</w:t>
      </w:r>
      <w:r w:rsidRPr="006664B9">
        <w:rPr>
          <w:rFonts w:cs="Times New Roman"/>
          <w:sz w:val="24"/>
          <w:szCs w:val="24"/>
        </w:rPr>
        <w:t xml:space="preserve"> zł.</w:t>
      </w:r>
    </w:p>
    <w:p w14:paraId="7CE967B6" w14:textId="77777777" w:rsidR="00EC5B8E" w:rsidRPr="006664B9" w:rsidRDefault="00000000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B9">
        <w:rPr>
          <w:rFonts w:ascii="Times New Roman" w:hAnsi="Times New Roman" w:cs="Times New Roman"/>
          <w:sz w:val="24"/>
          <w:szCs w:val="24"/>
        </w:rPr>
        <w:lastRenderedPageBreak/>
        <w:t>Podatek od spadków i darowizn</w:t>
      </w:r>
    </w:p>
    <w:p w14:paraId="213CA389" w14:textId="6A89637D" w:rsidR="00EC5B8E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Wpływy z podatku od spadków i darowizn w pierwszym półroczu 2023 roku zostały zrealizowane </w:t>
      </w:r>
      <w:r w:rsidR="00BF603F">
        <w:rPr>
          <w:rFonts w:cs="Times New Roman"/>
          <w:sz w:val="24"/>
          <w:szCs w:val="24"/>
        </w:rPr>
        <w:t xml:space="preserve">                            </w:t>
      </w:r>
      <w:r w:rsidRPr="006664B9">
        <w:rPr>
          <w:rFonts w:cs="Times New Roman"/>
          <w:sz w:val="24"/>
          <w:szCs w:val="24"/>
        </w:rPr>
        <w:t xml:space="preserve">w kwocie </w:t>
      </w:r>
      <w:r w:rsidR="00F62BE2" w:rsidRPr="006664B9">
        <w:rPr>
          <w:rFonts w:cs="Times New Roman"/>
          <w:sz w:val="24"/>
          <w:szCs w:val="24"/>
        </w:rPr>
        <w:t>5 943,61</w:t>
      </w:r>
      <w:r w:rsidRPr="006664B9">
        <w:rPr>
          <w:rFonts w:cs="Times New Roman"/>
          <w:sz w:val="24"/>
          <w:szCs w:val="24"/>
        </w:rPr>
        <w:t xml:space="preserve"> zł, co stanowi </w:t>
      </w:r>
      <w:r w:rsidR="00F62BE2" w:rsidRPr="006664B9">
        <w:rPr>
          <w:rFonts w:cs="Times New Roman"/>
          <w:sz w:val="24"/>
          <w:szCs w:val="24"/>
        </w:rPr>
        <w:t>35,87</w:t>
      </w:r>
      <w:r w:rsidRPr="006664B9">
        <w:rPr>
          <w:rFonts w:cs="Times New Roman"/>
          <w:sz w:val="24"/>
          <w:szCs w:val="24"/>
        </w:rPr>
        <w:t xml:space="preserve">% realizacji planu wynoszącego </w:t>
      </w:r>
      <w:r w:rsidR="00F62BE2" w:rsidRPr="006664B9">
        <w:rPr>
          <w:rFonts w:cs="Times New Roman"/>
          <w:sz w:val="24"/>
          <w:szCs w:val="24"/>
        </w:rPr>
        <w:t>16 570</w:t>
      </w:r>
      <w:r w:rsidRPr="006664B9">
        <w:rPr>
          <w:rFonts w:cs="Times New Roman"/>
          <w:sz w:val="24"/>
          <w:szCs w:val="24"/>
        </w:rPr>
        <w:t>,00 zł. Zaległości podatkowe na dzień</w:t>
      </w:r>
      <w:r w:rsidR="005C0233" w:rsidRPr="006664B9">
        <w:rPr>
          <w:rFonts w:cs="Times New Roman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>30 czerwca 2023 roku wynoszą 2</w:t>
      </w:r>
      <w:r w:rsidR="00F62BE2" w:rsidRPr="006664B9">
        <w:rPr>
          <w:rFonts w:cs="Times New Roman"/>
          <w:sz w:val="24"/>
          <w:szCs w:val="24"/>
        </w:rPr>
        <w:t>4,41</w:t>
      </w:r>
      <w:r w:rsidRPr="006664B9">
        <w:rPr>
          <w:rFonts w:cs="Times New Roman"/>
          <w:sz w:val="24"/>
          <w:szCs w:val="24"/>
        </w:rPr>
        <w:t xml:space="preserve"> zł.</w:t>
      </w:r>
    </w:p>
    <w:p w14:paraId="1BFE673C" w14:textId="77777777" w:rsidR="00BF603F" w:rsidRPr="006664B9" w:rsidRDefault="00BF603F" w:rsidP="006664B9">
      <w:pPr>
        <w:spacing w:after="0"/>
        <w:jc w:val="both"/>
        <w:rPr>
          <w:rFonts w:cs="Times New Roman"/>
          <w:sz w:val="24"/>
          <w:szCs w:val="24"/>
        </w:rPr>
      </w:pPr>
    </w:p>
    <w:p w14:paraId="2E5A8055" w14:textId="77777777" w:rsidR="00EC5B8E" w:rsidRPr="006664B9" w:rsidRDefault="00000000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B9">
        <w:rPr>
          <w:rFonts w:ascii="Times New Roman" w:hAnsi="Times New Roman" w:cs="Times New Roman"/>
          <w:sz w:val="24"/>
          <w:szCs w:val="24"/>
        </w:rPr>
        <w:t>Podatek od czynności cywilnoprawnych</w:t>
      </w:r>
    </w:p>
    <w:p w14:paraId="60FA143E" w14:textId="310E73C9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Wpływy z podatku od czynności cywilnoprawnych w pierwszym półroczu 2023 roku zostały zrealizowane w kwocie </w:t>
      </w:r>
      <w:r w:rsidR="00F62BE2" w:rsidRPr="006664B9">
        <w:rPr>
          <w:rFonts w:cs="Times New Roman"/>
          <w:sz w:val="24"/>
          <w:szCs w:val="24"/>
        </w:rPr>
        <w:t>54</w:t>
      </w:r>
      <w:r w:rsidR="00BF603F">
        <w:rPr>
          <w:rFonts w:cs="Times New Roman"/>
          <w:sz w:val="24"/>
          <w:szCs w:val="24"/>
        </w:rPr>
        <w:t>.</w:t>
      </w:r>
      <w:r w:rsidR="00F62BE2" w:rsidRPr="006664B9">
        <w:rPr>
          <w:rFonts w:cs="Times New Roman"/>
          <w:sz w:val="24"/>
          <w:szCs w:val="24"/>
        </w:rPr>
        <w:t>580,75</w:t>
      </w:r>
      <w:r w:rsidRPr="006664B9">
        <w:rPr>
          <w:rFonts w:cs="Times New Roman"/>
          <w:sz w:val="24"/>
          <w:szCs w:val="24"/>
        </w:rPr>
        <w:t xml:space="preserve"> zł, co stanowi </w:t>
      </w:r>
      <w:r w:rsidR="00F62BE2" w:rsidRPr="006664B9">
        <w:rPr>
          <w:rFonts w:cs="Times New Roman"/>
          <w:sz w:val="24"/>
          <w:szCs w:val="24"/>
        </w:rPr>
        <w:t>34,50</w:t>
      </w:r>
      <w:r w:rsidRPr="006664B9">
        <w:rPr>
          <w:rFonts w:cs="Times New Roman"/>
          <w:sz w:val="24"/>
          <w:szCs w:val="24"/>
        </w:rPr>
        <w:t xml:space="preserve">% realizacji planu wynoszącego </w:t>
      </w:r>
      <w:r w:rsidR="00F62BE2" w:rsidRPr="006664B9">
        <w:rPr>
          <w:rFonts w:cs="Times New Roman"/>
          <w:sz w:val="24"/>
          <w:szCs w:val="24"/>
        </w:rPr>
        <w:t>158</w:t>
      </w:r>
      <w:r w:rsidR="00BF603F">
        <w:rPr>
          <w:rFonts w:cs="Times New Roman"/>
          <w:sz w:val="24"/>
          <w:szCs w:val="24"/>
        </w:rPr>
        <w:t>.</w:t>
      </w:r>
      <w:r w:rsidR="00F62BE2" w:rsidRPr="006664B9">
        <w:rPr>
          <w:rFonts w:cs="Times New Roman"/>
          <w:sz w:val="24"/>
          <w:szCs w:val="24"/>
        </w:rPr>
        <w:t>188</w:t>
      </w:r>
      <w:r w:rsidRPr="006664B9">
        <w:rPr>
          <w:rFonts w:cs="Times New Roman"/>
          <w:sz w:val="24"/>
          <w:szCs w:val="24"/>
        </w:rPr>
        <w:t>,00 zł</w:t>
      </w:r>
      <w:r w:rsidR="00BF603F">
        <w:rPr>
          <w:rFonts w:cs="Times New Roman"/>
          <w:sz w:val="24"/>
          <w:szCs w:val="24"/>
        </w:rPr>
        <w:t xml:space="preserve">                   </w:t>
      </w:r>
      <w:r w:rsidR="00CE734D" w:rsidRPr="006664B9">
        <w:rPr>
          <w:rFonts w:cs="Times New Roman"/>
          <w:sz w:val="24"/>
          <w:szCs w:val="24"/>
        </w:rPr>
        <w:t xml:space="preserve"> (</w:t>
      </w:r>
      <w:r w:rsidRPr="006664B9">
        <w:rPr>
          <w:rFonts w:cs="Times New Roman"/>
          <w:sz w:val="24"/>
          <w:szCs w:val="24"/>
        </w:rPr>
        <w:t xml:space="preserve"> od osób fizycznych</w:t>
      </w:r>
      <w:r w:rsidR="00CE734D" w:rsidRPr="006664B9">
        <w:rPr>
          <w:rFonts w:cs="Times New Roman"/>
          <w:sz w:val="24"/>
          <w:szCs w:val="24"/>
        </w:rPr>
        <w:t>)</w:t>
      </w:r>
      <w:r w:rsidRPr="006664B9">
        <w:rPr>
          <w:rFonts w:cs="Times New Roman"/>
          <w:sz w:val="24"/>
          <w:szCs w:val="24"/>
        </w:rPr>
        <w:t xml:space="preserve">. </w:t>
      </w:r>
      <w:r w:rsidR="00CE734D" w:rsidRPr="006664B9">
        <w:rPr>
          <w:rFonts w:cs="Times New Roman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 xml:space="preserve">Zaległości podatkowe na dzień 30 czerwca 2023 roku wynoszą </w:t>
      </w:r>
      <w:r w:rsidR="00F62BE2" w:rsidRPr="006664B9">
        <w:rPr>
          <w:rFonts w:cs="Times New Roman"/>
          <w:sz w:val="24"/>
          <w:szCs w:val="24"/>
        </w:rPr>
        <w:t xml:space="preserve"> 367,41</w:t>
      </w:r>
      <w:r w:rsidRPr="006664B9">
        <w:rPr>
          <w:rFonts w:cs="Times New Roman"/>
          <w:sz w:val="24"/>
          <w:szCs w:val="24"/>
        </w:rPr>
        <w:t xml:space="preserve"> zł.</w:t>
      </w:r>
    </w:p>
    <w:p w14:paraId="57DBE0F4" w14:textId="77777777" w:rsidR="00BF603F" w:rsidRDefault="00BF603F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786C8" w14:textId="127CC69B" w:rsidR="00EC5B8E" w:rsidRPr="006664B9" w:rsidRDefault="00000000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B9">
        <w:rPr>
          <w:rFonts w:ascii="Times New Roman" w:hAnsi="Times New Roman" w:cs="Times New Roman"/>
          <w:sz w:val="24"/>
          <w:szCs w:val="24"/>
        </w:rPr>
        <w:t>Wpływy z opłaty skarbowej</w:t>
      </w:r>
    </w:p>
    <w:p w14:paraId="712A94F3" w14:textId="659289E4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Wpływy z opłaty skarbowej w pierwszym półroczu 2023 r</w:t>
      </w:r>
      <w:r w:rsidR="00BF603F">
        <w:rPr>
          <w:rFonts w:cs="Times New Roman"/>
          <w:sz w:val="24"/>
          <w:szCs w:val="24"/>
        </w:rPr>
        <w:t xml:space="preserve">. </w:t>
      </w:r>
      <w:r w:rsidRPr="006664B9">
        <w:rPr>
          <w:rFonts w:cs="Times New Roman"/>
          <w:sz w:val="24"/>
          <w:szCs w:val="24"/>
        </w:rPr>
        <w:t xml:space="preserve">zostały zrealizowane w kwocie </w:t>
      </w:r>
      <w:r w:rsidR="00F62BE2" w:rsidRPr="006664B9">
        <w:rPr>
          <w:rFonts w:cs="Times New Roman"/>
          <w:sz w:val="24"/>
          <w:szCs w:val="24"/>
        </w:rPr>
        <w:t>6</w:t>
      </w:r>
      <w:r w:rsidR="00BF603F">
        <w:rPr>
          <w:rFonts w:cs="Times New Roman"/>
          <w:sz w:val="24"/>
          <w:szCs w:val="24"/>
        </w:rPr>
        <w:t>.</w:t>
      </w:r>
      <w:r w:rsidR="00F62BE2" w:rsidRPr="006664B9">
        <w:rPr>
          <w:rFonts w:cs="Times New Roman"/>
          <w:sz w:val="24"/>
          <w:szCs w:val="24"/>
        </w:rPr>
        <w:t>657,00</w:t>
      </w:r>
      <w:r w:rsidR="00BF603F">
        <w:rPr>
          <w:rFonts w:cs="Times New Roman"/>
          <w:sz w:val="24"/>
          <w:szCs w:val="24"/>
        </w:rPr>
        <w:t xml:space="preserve"> </w:t>
      </w:r>
      <w:r w:rsidR="00F62BE2" w:rsidRPr="006664B9">
        <w:rPr>
          <w:rFonts w:cs="Times New Roman"/>
          <w:sz w:val="24"/>
          <w:szCs w:val="24"/>
        </w:rPr>
        <w:t xml:space="preserve">zł, </w:t>
      </w:r>
      <w:r w:rsidR="005C0233" w:rsidRPr="006664B9">
        <w:rPr>
          <w:rFonts w:cs="Times New Roman"/>
          <w:sz w:val="24"/>
          <w:szCs w:val="24"/>
        </w:rPr>
        <w:t xml:space="preserve">                             </w:t>
      </w:r>
      <w:r w:rsidR="00F62BE2" w:rsidRPr="006664B9">
        <w:rPr>
          <w:rFonts w:cs="Times New Roman"/>
          <w:sz w:val="24"/>
          <w:szCs w:val="24"/>
        </w:rPr>
        <w:t>co stanowi 51,21% realizacji planu wynoszącego 13</w:t>
      </w:r>
      <w:r w:rsidR="00BF603F">
        <w:rPr>
          <w:rFonts w:cs="Times New Roman"/>
          <w:sz w:val="24"/>
          <w:szCs w:val="24"/>
        </w:rPr>
        <w:t>.</w:t>
      </w:r>
      <w:r w:rsidR="00F62BE2" w:rsidRPr="006664B9">
        <w:rPr>
          <w:rFonts w:cs="Times New Roman"/>
          <w:sz w:val="24"/>
          <w:szCs w:val="24"/>
        </w:rPr>
        <w:t xml:space="preserve">000,00 zł. </w:t>
      </w:r>
    </w:p>
    <w:p w14:paraId="1F9D4D69" w14:textId="77777777" w:rsidR="00BF603F" w:rsidRDefault="00BF603F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B1EC1" w14:textId="41C0E1A5" w:rsidR="00E11C36" w:rsidRPr="006664B9" w:rsidRDefault="00E11C36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B9">
        <w:rPr>
          <w:rFonts w:ascii="Times New Roman" w:hAnsi="Times New Roman" w:cs="Times New Roman"/>
          <w:sz w:val="24"/>
          <w:szCs w:val="24"/>
        </w:rPr>
        <w:t>Wpływy z opłaty eksploatacyjnej</w:t>
      </w:r>
    </w:p>
    <w:p w14:paraId="7527D981" w14:textId="17D404D4" w:rsidR="00E11C36" w:rsidRPr="006664B9" w:rsidRDefault="00E11C36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Wpływy z opłaty eksploatacyjnej w pierwszym półroczu 2023 roku zostały zrealizowane w kwocie 12</w:t>
      </w:r>
      <w:r w:rsidR="00BF603F">
        <w:rPr>
          <w:rFonts w:cs="Times New Roman"/>
          <w:sz w:val="24"/>
          <w:szCs w:val="24"/>
        </w:rPr>
        <w:t>.</w:t>
      </w:r>
      <w:r w:rsidRPr="006664B9">
        <w:rPr>
          <w:rFonts w:cs="Times New Roman"/>
          <w:sz w:val="24"/>
          <w:szCs w:val="24"/>
        </w:rPr>
        <w:t xml:space="preserve">567,98 zł, co stanowi 100,00% realizacji planu. </w:t>
      </w:r>
    </w:p>
    <w:p w14:paraId="4DFDDE60" w14:textId="77777777" w:rsidR="00BF603F" w:rsidRDefault="00BF603F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65D4F" w14:textId="3BC9F662" w:rsidR="00EC5B8E" w:rsidRPr="006664B9" w:rsidRDefault="00000000" w:rsidP="006664B9">
      <w:pPr>
        <w:pStyle w:val="Nagwek5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B9">
        <w:rPr>
          <w:rFonts w:ascii="Times New Roman" w:hAnsi="Times New Roman" w:cs="Times New Roman"/>
          <w:sz w:val="24"/>
          <w:szCs w:val="24"/>
        </w:rPr>
        <w:t>Wpływy z opłat lokalnych</w:t>
      </w:r>
    </w:p>
    <w:p w14:paraId="54E66502" w14:textId="2D8087CC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Wpływy z opłat w 2023 roku zostały zaplanowane </w:t>
      </w:r>
      <w:r w:rsidR="00BD7C2A" w:rsidRPr="006664B9">
        <w:rPr>
          <w:rFonts w:cs="Times New Roman"/>
          <w:sz w:val="24"/>
          <w:szCs w:val="24"/>
        </w:rPr>
        <w:t>w kwocie 951</w:t>
      </w:r>
      <w:r w:rsidR="00BF603F">
        <w:rPr>
          <w:rFonts w:cs="Times New Roman"/>
          <w:sz w:val="24"/>
          <w:szCs w:val="24"/>
        </w:rPr>
        <w:t>.</w:t>
      </w:r>
      <w:r w:rsidR="00BD7C2A" w:rsidRPr="006664B9">
        <w:rPr>
          <w:rFonts w:cs="Times New Roman"/>
          <w:sz w:val="24"/>
          <w:szCs w:val="24"/>
        </w:rPr>
        <w:t>970,53</w:t>
      </w:r>
      <w:r w:rsidRPr="006664B9">
        <w:rPr>
          <w:rFonts w:cs="Times New Roman"/>
          <w:color w:val="FF0000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 xml:space="preserve">zł, natomiast zrealizowane </w:t>
      </w:r>
      <w:r w:rsidR="00BF603F">
        <w:rPr>
          <w:rFonts w:cs="Times New Roman"/>
          <w:sz w:val="24"/>
          <w:szCs w:val="24"/>
        </w:rPr>
        <w:t xml:space="preserve">                                </w:t>
      </w:r>
      <w:r w:rsidRPr="006664B9">
        <w:rPr>
          <w:rFonts w:cs="Times New Roman"/>
          <w:sz w:val="24"/>
          <w:szCs w:val="24"/>
        </w:rPr>
        <w:t xml:space="preserve">w pierwszym półroczu w kwocie </w:t>
      </w:r>
      <w:r w:rsidR="00BD7C2A" w:rsidRPr="006664B9">
        <w:rPr>
          <w:rFonts w:cs="Times New Roman"/>
          <w:sz w:val="24"/>
          <w:szCs w:val="24"/>
        </w:rPr>
        <w:t>655</w:t>
      </w:r>
      <w:r w:rsidR="00BF603F">
        <w:rPr>
          <w:rFonts w:cs="Times New Roman"/>
          <w:sz w:val="24"/>
          <w:szCs w:val="24"/>
        </w:rPr>
        <w:t>.</w:t>
      </w:r>
      <w:r w:rsidR="00BD7C2A" w:rsidRPr="006664B9">
        <w:rPr>
          <w:rFonts w:cs="Times New Roman"/>
          <w:sz w:val="24"/>
          <w:szCs w:val="24"/>
        </w:rPr>
        <w:t xml:space="preserve">683,36 </w:t>
      </w:r>
      <w:r w:rsidRPr="006664B9">
        <w:rPr>
          <w:rFonts w:cs="Times New Roman"/>
          <w:sz w:val="24"/>
          <w:szCs w:val="24"/>
        </w:rPr>
        <w:t>zł, co stanowi 6</w:t>
      </w:r>
      <w:r w:rsidR="00BD7C2A" w:rsidRPr="006664B9">
        <w:rPr>
          <w:rFonts w:cs="Times New Roman"/>
          <w:sz w:val="24"/>
          <w:szCs w:val="24"/>
        </w:rPr>
        <w:t>8</w:t>
      </w:r>
      <w:r w:rsidRPr="006664B9">
        <w:rPr>
          <w:rFonts w:cs="Times New Roman"/>
          <w:sz w:val="24"/>
          <w:szCs w:val="24"/>
        </w:rPr>
        <w:t>,</w:t>
      </w:r>
      <w:r w:rsidR="00BD7C2A" w:rsidRPr="006664B9">
        <w:rPr>
          <w:rFonts w:cs="Times New Roman"/>
          <w:sz w:val="24"/>
          <w:szCs w:val="24"/>
        </w:rPr>
        <w:t>88</w:t>
      </w:r>
      <w:r w:rsidRPr="006664B9">
        <w:rPr>
          <w:rFonts w:cs="Times New Roman"/>
          <w:sz w:val="24"/>
          <w:szCs w:val="24"/>
        </w:rPr>
        <w:t xml:space="preserve">% realizacji planu. </w:t>
      </w:r>
      <w:r w:rsidR="00BD7C2A" w:rsidRPr="006664B9">
        <w:rPr>
          <w:rFonts w:cs="Times New Roman"/>
          <w:sz w:val="24"/>
          <w:szCs w:val="24"/>
        </w:rPr>
        <w:t>W</w:t>
      </w:r>
      <w:r w:rsidRPr="006664B9">
        <w:rPr>
          <w:rFonts w:cs="Times New Roman"/>
          <w:sz w:val="24"/>
          <w:szCs w:val="24"/>
        </w:rPr>
        <w:t>pływy z opłat zrealizowane zostały z:</w:t>
      </w:r>
    </w:p>
    <w:p w14:paraId="2599B45F" w14:textId="2E2AE56F" w:rsidR="00E11C36" w:rsidRPr="006664B9" w:rsidRDefault="00E11C36" w:rsidP="006664B9">
      <w:pPr>
        <w:pStyle w:val="Akapitzlist"/>
        <w:numPr>
          <w:ilvl w:val="0"/>
          <w:numId w:val="28"/>
        </w:numPr>
        <w:spacing w:after="0"/>
        <w:ind w:left="426" w:hanging="284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§043 (wpływy z opłaty targowej ) – 870,00 zł;</w:t>
      </w:r>
    </w:p>
    <w:p w14:paraId="25BDD83E" w14:textId="7F89F6C8" w:rsidR="00EC5B8E" w:rsidRPr="006664B9" w:rsidRDefault="00000000" w:rsidP="006664B9">
      <w:pPr>
        <w:pStyle w:val="Akapitzlist"/>
        <w:numPr>
          <w:ilvl w:val="0"/>
          <w:numId w:val="28"/>
        </w:numPr>
        <w:spacing w:after="0"/>
        <w:ind w:left="426" w:hanging="284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§049 (wpływy z innych lokalnych opłat pobieranych przez jednostki samorządu terytorialnego </w:t>
      </w:r>
      <w:r w:rsidR="00BF603F">
        <w:rPr>
          <w:rFonts w:cs="Times New Roman"/>
          <w:sz w:val="24"/>
          <w:szCs w:val="24"/>
        </w:rPr>
        <w:t xml:space="preserve">                        </w:t>
      </w:r>
      <w:r w:rsidRPr="006664B9">
        <w:rPr>
          <w:rFonts w:cs="Times New Roman"/>
          <w:sz w:val="24"/>
          <w:szCs w:val="24"/>
        </w:rPr>
        <w:t xml:space="preserve">na podstawie odrębnych ustaw) – </w:t>
      </w:r>
      <w:r w:rsidR="00F62BE2" w:rsidRPr="006664B9">
        <w:rPr>
          <w:rFonts w:cs="Times New Roman"/>
          <w:sz w:val="24"/>
          <w:szCs w:val="24"/>
        </w:rPr>
        <w:t>561</w:t>
      </w:r>
      <w:r w:rsidR="00BF603F">
        <w:rPr>
          <w:rFonts w:cs="Times New Roman"/>
          <w:sz w:val="24"/>
          <w:szCs w:val="24"/>
        </w:rPr>
        <w:t>.</w:t>
      </w:r>
      <w:r w:rsidR="00F62BE2" w:rsidRPr="006664B9">
        <w:rPr>
          <w:rFonts w:cs="Times New Roman"/>
          <w:sz w:val="24"/>
          <w:szCs w:val="24"/>
        </w:rPr>
        <w:t>137,54</w:t>
      </w:r>
      <w:r w:rsidRPr="006664B9">
        <w:rPr>
          <w:rFonts w:cs="Times New Roman"/>
          <w:sz w:val="24"/>
          <w:szCs w:val="24"/>
        </w:rPr>
        <w:t xml:space="preserve"> zł;</w:t>
      </w:r>
    </w:p>
    <w:p w14:paraId="7F1D862E" w14:textId="62422AFA" w:rsidR="00EC5B8E" w:rsidRPr="006664B9" w:rsidRDefault="00000000" w:rsidP="006664B9">
      <w:pPr>
        <w:pStyle w:val="Akapitzlist"/>
        <w:numPr>
          <w:ilvl w:val="0"/>
          <w:numId w:val="28"/>
        </w:numPr>
        <w:spacing w:after="0"/>
        <w:ind w:left="426" w:hanging="284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§048 (wpływy z opłat za zezwolenia na sprzedaż napojów alkoholowych) – </w:t>
      </w:r>
      <w:r w:rsidR="00F62BE2" w:rsidRPr="006664B9">
        <w:rPr>
          <w:rFonts w:cs="Times New Roman"/>
          <w:sz w:val="24"/>
          <w:szCs w:val="24"/>
        </w:rPr>
        <w:t xml:space="preserve"> 54</w:t>
      </w:r>
      <w:r w:rsidR="00BF603F">
        <w:rPr>
          <w:rFonts w:cs="Times New Roman"/>
          <w:sz w:val="24"/>
          <w:szCs w:val="24"/>
        </w:rPr>
        <w:t>.</w:t>
      </w:r>
      <w:r w:rsidR="00F62BE2" w:rsidRPr="006664B9">
        <w:rPr>
          <w:rFonts w:cs="Times New Roman"/>
          <w:sz w:val="24"/>
          <w:szCs w:val="24"/>
        </w:rPr>
        <w:t>121,91</w:t>
      </w:r>
      <w:r w:rsidRPr="006664B9">
        <w:rPr>
          <w:rFonts w:cs="Times New Roman"/>
          <w:sz w:val="24"/>
          <w:szCs w:val="24"/>
        </w:rPr>
        <w:t xml:space="preserve"> zł;</w:t>
      </w:r>
    </w:p>
    <w:p w14:paraId="12F4AF01" w14:textId="497BAC7B" w:rsidR="009A0893" w:rsidRPr="006664B9" w:rsidRDefault="009A0893" w:rsidP="006664B9">
      <w:pPr>
        <w:pStyle w:val="Akapitzlist"/>
        <w:numPr>
          <w:ilvl w:val="0"/>
          <w:numId w:val="28"/>
        </w:numPr>
        <w:spacing w:after="0"/>
        <w:ind w:left="426" w:hanging="284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§066 (wpływy z opłat za korzystanie z wychowania przedszkolnego ) – 2</w:t>
      </w:r>
      <w:r w:rsidR="00BF603F">
        <w:rPr>
          <w:rFonts w:cs="Times New Roman"/>
          <w:sz w:val="24"/>
          <w:szCs w:val="24"/>
        </w:rPr>
        <w:t>.</w:t>
      </w:r>
      <w:r w:rsidRPr="006664B9">
        <w:rPr>
          <w:rFonts w:cs="Times New Roman"/>
          <w:sz w:val="24"/>
          <w:szCs w:val="24"/>
        </w:rPr>
        <w:t>105,26 zł;</w:t>
      </w:r>
    </w:p>
    <w:p w14:paraId="797D8B67" w14:textId="6D5864F4" w:rsidR="00EC5B8E" w:rsidRPr="006664B9" w:rsidRDefault="00000000" w:rsidP="006664B9">
      <w:pPr>
        <w:pStyle w:val="Akapitzlist"/>
        <w:numPr>
          <w:ilvl w:val="0"/>
          <w:numId w:val="28"/>
        </w:numPr>
        <w:spacing w:after="0"/>
        <w:ind w:left="426" w:hanging="284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§069 (wpływy z różnych opłat) – </w:t>
      </w:r>
      <w:r w:rsidR="00F62BE2" w:rsidRPr="006664B9">
        <w:rPr>
          <w:rFonts w:cs="Times New Roman"/>
          <w:sz w:val="24"/>
          <w:szCs w:val="24"/>
        </w:rPr>
        <w:t>24</w:t>
      </w:r>
      <w:r w:rsidR="00BF603F">
        <w:rPr>
          <w:rFonts w:cs="Times New Roman"/>
          <w:sz w:val="24"/>
          <w:szCs w:val="24"/>
        </w:rPr>
        <w:t>.</w:t>
      </w:r>
      <w:r w:rsidR="00F62BE2" w:rsidRPr="006664B9">
        <w:rPr>
          <w:rFonts w:cs="Times New Roman"/>
          <w:sz w:val="24"/>
          <w:szCs w:val="24"/>
        </w:rPr>
        <w:t xml:space="preserve">340,12 </w:t>
      </w:r>
      <w:r w:rsidRPr="006664B9">
        <w:rPr>
          <w:rFonts w:cs="Times New Roman"/>
          <w:sz w:val="24"/>
          <w:szCs w:val="24"/>
        </w:rPr>
        <w:t>zł;</w:t>
      </w:r>
    </w:p>
    <w:p w14:paraId="6059F523" w14:textId="0E9E11AB" w:rsidR="00EC5B8E" w:rsidRPr="006664B9" w:rsidRDefault="00000000" w:rsidP="006664B9">
      <w:pPr>
        <w:pStyle w:val="Akapitzlist"/>
        <w:numPr>
          <w:ilvl w:val="0"/>
          <w:numId w:val="28"/>
        </w:numPr>
        <w:spacing w:after="0"/>
        <w:ind w:left="426" w:hanging="284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§027 (wpływy z części opłaty za zezwolenie na sprzedaż napojów alkoholowych w obrocie hurtowym) – </w:t>
      </w:r>
      <w:r w:rsidR="00F62BE2" w:rsidRPr="006664B9">
        <w:rPr>
          <w:rFonts w:cs="Times New Roman"/>
          <w:sz w:val="24"/>
          <w:szCs w:val="24"/>
        </w:rPr>
        <w:t>13</w:t>
      </w:r>
      <w:r w:rsidR="00BF603F">
        <w:rPr>
          <w:rFonts w:cs="Times New Roman"/>
          <w:sz w:val="24"/>
          <w:szCs w:val="24"/>
        </w:rPr>
        <w:t>.</w:t>
      </w:r>
      <w:r w:rsidR="00F62BE2" w:rsidRPr="006664B9">
        <w:rPr>
          <w:rFonts w:cs="Times New Roman"/>
          <w:sz w:val="24"/>
          <w:szCs w:val="24"/>
        </w:rPr>
        <w:t xml:space="preserve">108,53 </w:t>
      </w:r>
      <w:r w:rsidRPr="006664B9">
        <w:rPr>
          <w:rFonts w:cs="Times New Roman"/>
          <w:sz w:val="24"/>
          <w:szCs w:val="24"/>
        </w:rPr>
        <w:t>zł.</w:t>
      </w:r>
    </w:p>
    <w:p w14:paraId="0604287F" w14:textId="77777777" w:rsidR="00BF603F" w:rsidRDefault="00BF603F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</w:p>
    <w:p w14:paraId="761E3054" w14:textId="61188DC8" w:rsidR="00EC5B8E" w:rsidRPr="006664B9" w:rsidRDefault="00000000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Pozostałe dochody bieżące</w:t>
      </w:r>
    </w:p>
    <w:p w14:paraId="7F3106F0" w14:textId="746C8ABC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Pozostałe dochody bieżące to dochody niesklasyfikowane w ramach wcześniejszych grup. W okresie sprawozdawczym przewiduje się wykonanie </w:t>
      </w:r>
      <w:r w:rsidR="00BD7C2A" w:rsidRPr="006664B9">
        <w:rPr>
          <w:rFonts w:cs="Times New Roman"/>
          <w:sz w:val="24"/>
          <w:szCs w:val="24"/>
        </w:rPr>
        <w:t>w kwocie 710</w:t>
      </w:r>
      <w:r w:rsidR="00BF603F">
        <w:rPr>
          <w:rFonts w:cs="Times New Roman"/>
          <w:sz w:val="24"/>
          <w:szCs w:val="24"/>
        </w:rPr>
        <w:t>.</w:t>
      </w:r>
      <w:r w:rsidR="00BD7C2A" w:rsidRPr="006664B9">
        <w:rPr>
          <w:rFonts w:cs="Times New Roman"/>
          <w:sz w:val="24"/>
          <w:szCs w:val="24"/>
        </w:rPr>
        <w:t xml:space="preserve">284,35 </w:t>
      </w:r>
      <w:r w:rsidRPr="006664B9">
        <w:rPr>
          <w:rFonts w:cs="Times New Roman"/>
          <w:sz w:val="24"/>
          <w:szCs w:val="24"/>
        </w:rPr>
        <w:t xml:space="preserve">zł. Plan w pierwszym półroczu został wykonany w kwocie </w:t>
      </w:r>
      <w:r w:rsidR="00BD7C2A" w:rsidRPr="006664B9">
        <w:rPr>
          <w:rFonts w:cs="Times New Roman"/>
          <w:sz w:val="24"/>
          <w:szCs w:val="24"/>
        </w:rPr>
        <w:t xml:space="preserve"> 683</w:t>
      </w:r>
      <w:r w:rsidR="00BF603F">
        <w:rPr>
          <w:rFonts w:cs="Times New Roman"/>
          <w:sz w:val="24"/>
          <w:szCs w:val="24"/>
        </w:rPr>
        <w:t>.</w:t>
      </w:r>
      <w:r w:rsidR="00BD7C2A" w:rsidRPr="006664B9">
        <w:rPr>
          <w:rFonts w:cs="Times New Roman"/>
          <w:sz w:val="24"/>
          <w:szCs w:val="24"/>
        </w:rPr>
        <w:t>945</w:t>
      </w:r>
      <w:r w:rsidRPr="006664B9">
        <w:rPr>
          <w:rFonts w:cs="Times New Roman"/>
          <w:sz w:val="24"/>
          <w:szCs w:val="24"/>
        </w:rPr>
        <w:t>,</w:t>
      </w:r>
      <w:r w:rsidR="00BD7C2A" w:rsidRPr="006664B9">
        <w:rPr>
          <w:rFonts w:cs="Times New Roman"/>
          <w:sz w:val="24"/>
          <w:szCs w:val="24"/>
        </w:rPr>
        <w:t>00</w:t>
      </w:r>
      <w:r w:rsidRPr="006664B9">
        <w:rPr>
          <w:rFonts w:cs="Times New Roman"/>
          <w:sz w:val="24"/>
          <w:szCs w:val="24"/>
        </w:rPr>
        <w:t xml:space="preserve"> zł, co stanowi </w:t>
      </w:r>
      <w:r w:rsidR="00BD7C2A" w:rsidRPr="006664B9">
        <w:rPr>
          <w:rFonts w:cs="Times New Roman"/>
          <w:sz w:val="24"/>
          <w:szCs w:val="24"/>
        </w:rPr>
        <w:t>96,30</w:t>
      </w:r>
      <w:r w:rsidRPr="006664B9">
        <w:rPr>
          <w:rFonts w:cs="Times New Roman"/>
          <w:sz w:val="24"/>
          <w:szCs w:val="24"/>
        </w:rPr>
        <w:t>% założeń.</w:t>
      </w:r>
    </w:p>
    <w:p w14:paraId="4EB16A46" w14:textId="77777777" w:rsidR="00BF603F" w:rsidRDefault="00BF603F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</w:p>
    <w:p w14:paraId="16E43248" w14:textId="689246C2" w:rsidR="00EC5B8E" w:rsidRPr="006664B9" w:rsidRDefault="00000000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Dochody z majątku</w:t>
      </w:r>
    </w:p>
    <w:p w14:paraId="4B69A8D5" w14:textId="0A3D1C4F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Dochody z majątku zostały zaplanowane </w:t>
      </w:r>
      <w:r w:rsidR="00E11C36" w:rsidRPr="006664B9">
        <w:rPr>
          <w:rFonts w:cs="Times New Roman"/>
          <w:sz w:val="24"/>
          <w:szCs w:val="24"/>
        </w:rPr>
        <w:t>w kwocie 98</w:t>
      </w:r>
      <w:r w:rsidR="00BF603F">
        <w:rPr>
          <w:rFonts w:cs="Times New Roman"/>
          <w:sz w:val="24"/>
          <w:szCs w:val="24"/>
        </w:rPr>
        <w:t>.</w:t>
      </w:r>
      <w:r w:rsidR="00E11C36" w:rsidRPr="006664B9">
        <w:rPr>
          <w:rFonts w:cs="Times New Roman"/>
          <w:sz w:val="24"/>
          <w:szCs w:val="24"/>
        </w:rPr>
        <w:t>170,00</w:t>
      </w:r>
      <w:r w:rsidRPr="006664B9">
        <w:rPr>
          <w:rFonts w:cs="Times New Roman"/>
          <w:sz w:val="24"/>
          <w:szCs w:val="24"/>
        </w:rPr>
        <w:t xml:space="preserve"> zł, natomiast zrealizowane w pierwszym półroczu 2023 roku w kwocie </w:t>
      </w:r>
      <w:r w:rsidR="00E11C36" w:rsidRPr="006664B9">
        <w:rPr>
          <w:rFonts w:cs="Times New Roman"/>
          <w:sz w:val="24"/>
          <w:szCs w:val="24"/>
        </w:rPr>
        <w:t>16</w:t>
      </w:r>
      <w:r w:rsidR="00BF603F">
        <w:rPr>
          <w:rFonts w:cs="Times New Roman"/>
          <w:sz w:val="24"/>
          <w:szCs w:val="24"/>
        </w:rPr>
        <w:t>.</w:t>
      </w:r>
      <w:r w:rsidR="00E11C36" w:rsidRPr="006664B9">
        <w:rPr>
          <w:rFonts w:cs="Times New Roman"/>
          <w:sz w:val="24"/>
          <w:szCs w:val="24"/>
        </w:rPr>
        <w:t>206,00 z</w:t>
      </w:r>
      <w:r w:rsidRPr="006664B9">
        <w:rPr>
          <w:rFonts w:cs="Times New Roman"/>
          <w:sz w:val="24"/>
          <w:szCs w:val="24"/>
        </w:rPr>
        <w:t xml:space="preserve">ł, co stanowi </w:t>
      </w:r>
      <w:r w:rsidR="00E11C36" w:rsidRPr="006664B9">
        <w:rPr>
          <w:rFonts w:cs="Times New Roman"/>
          <w:sz w:val="24"/>
          <w:szCs w:val="24"/>
        </w:rPr>
        <w:t>16,51</w:t>
      </w:r>
      <w:r w:rsidRPr="006664B9">
        <w:rPr>
          <w:rFonts w:cs="Times New Roman"/>
          <w:sz w:val="24"/>
          <w:szCs w:val="24"/>
        </w:rPr>
        <w:t>% realizacji planu, przy czym:</w:t>
      </w:r>
    </w:p>
    <w:p w14:paraId="2F7EC175" w14:textId="49816DB1" w:rsidR="00EC5B8E" w:rsidRPr="006664B9" w:rsidRDefault="00000000" w:rsidP="006664B9">
      <w:pPr>
        <w:pStyle w:val="Akapitzlist"/>
        <w:numPr>
          <w:ilvl w:val="0"/>
          <w:numId w:val="29"/>
        </w:num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wpłaty z tytułu odpłatnego nabycia prawa własności oraz prawa użytkowania wieczystego nieruchomości wyniosły </w:t>
      </w:r>
      <w:r w:rsidR="00506720" w:rsidRPr="006664B9">
        <w:rPr>
          <w:rFonts w:cs="Times New Roman"/>
          <w:sz w:val="24"/>
          <w:szCs w:val="24"/>
        </w:rPr>
        <w:t>750</w:t>
      </w:r>
      <w:r w:rsidRPr="006664B9">
        <w:rPr>
          <w:rFonts w:cs="Times New Roman"/>
          <w:sz w:val="24"/>
          <w:szCs w:val="24"/>
        </w:rPr>
        <w:t>,</w:t>
      </w:r>
      <w:r w:rsidR="00506720" w:rsidRPr="006664B9">
        <w:rPr>
          <w:rFonts w:cs="Times New Roman"/>
          <w:sz w:val="24"/>
          <w:szCs w:val="24"/>
        </w:rPr>
        <w:t>00</w:t>
      </w:r>
      <w:r w:rsidRPr="006664B9">
        <w:rPr>
          <w:rFonts w:cs="Times New Roman"/>
          <w:sz w:val="24"/>
          <w:szCs w:val="24"/>
        </w:rPr>
        <w:t xml:space="preserve"> zł;</w:t>
      </w:r>
    </w:p>
    <w:p w14:paraId="2CD06352" w14:textId="20ED475F" w:rsidR="00EC5B8E" w:rsidRPr="006664B9" w:rsidRDefault="00000000" w:rsidP="006664B9">
      <w:pPr>
        <w:pStyle w:val="Akapitzlist"/>
        <w:numPr>
          <w:ilvl w:val="0"/>
          <w:numId w:val="29"/>
        </w:num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wpływy z</w:t>
      </w:r>
      <w:r w:rsidR="00506720" w:rsidRPr="006664B9">
        <w:rPr>
          <w:rFonts w:cs="Times New Roman"/>
          <w:sz w:val="24"/>
          <w:szCs w:val="24"/>
        </w:rPr>
        <w:t xml:space="preserve">e sprzedaży składników majątkowych </w:t>
      </w:r>
      <w:r w:rsidRPr="006664B9">
        <w:rPr>
          <w:rFonts w:cs="Times New Roman"/>
          <w:sz w:val="24"/>
          <w:szCs w:val="24"/>
        </w:rPr>
        <w:t xml:space="preserve">wyniosły </w:t>
      </w:r>
      <w:r w:rsidR="00506720" w:rsidRPr="006664B9">
        <w:rPr>
          <w:rFonts w:cs="Times New Roman"/>
          <w:sz w:val="24"/>
          <w:szCs w:val="24"/>
        </w:rPr>
        <w:t>15</w:t>
      </w:r>
      <w:r w:rsidR="00BF603F">
        <w:rPr>
          <w:rFonts w:cs="Times New Roman"/>
          <w:sz w:val="24"/>
          <w:szCs w:val="24"/>
        </w:rPr>
        <w:t>.</w:t>
      </w:r>
      <w:r w:rsidR="00506720" w:rsidRPr="006664B9">
        <w:rPr>
          <w:rFonts w:cs="Times New Roman"/>
          <w:sz w:val="24"/>
          <w:szCs w:val="24"/>
        </w:rPr>
        <w:t>456</w:t>
      </w:r>
      <w:r w:rsidRPr="006664B9">
        <w:rPr>
          <w:rFonts w:cs="Times New Roman"/>
          <w:sz w:val="24"/>
          <w:szCs w:val="24"/>
        </w:rPr>
        <w:t>,00 zł.</w:t>
      </w:r>
    </w:p>
    <w:p w14:paraId="46C75E2F" w14:textId="77777777" w:rsidR="00BF603F" w:rsidRDefault="00BF603F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</w:p>
    <w:p w14:paraId="0DABC373" w14:textId="77777777" w:rsidR="00A20C9F" w:rsidRDefault="00A20C9F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</w:p>
    <w:p w14:paraId="517F1502" w14:textId="57986D73" w:rsidR="00EC5B8E" w:rsidRPr="006664B9" w:rsidRDefault="00000000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Dotacje i środki na inwestycje</w:t>
      </w:r>
    </w:p>
    <w:p w14:paraId="5DC74C7C" w14:textId="5D13B68F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Dotacje i środki na inwestycje w 2023 roku zostały zaplanowane </w:t>
      </w:r>
      <w:r w:rsidR="00AD4F9E" w:rsidRPr="006664B9">
        <w:rPr>
          <w:rFonts w:cs="Times New Roman"/>
          <w:sz w:val="24"/>
          <w:szCs w:val="24"/>
        </w:rPr>
        <w:t>w kwocie 2</w:t>
      </w:r>
      <w:r w:rsidR="00BF603F">
        <w:rPr>
          <w:rFonts w:cs="Times New Roman"/>
          <w:sz w:val="24"/>
          <w:szCs w:val="24"/>
        </w:rPr>
        <w:t>.</w:t>
      </w:r>
      <w:r w:rsidR="00AD4F9E" w:rsidRPr="006664B9">
        <w:rPr>
          <w:rFonts w:cs="Times New Roman"/>
          <w:sz w:val="24"/>
          <w:szCs w:val="24"/>
        </w:rPr>
        <w:t>124</w:t>
      </w:r>
      <w:r w:rsidR="00BF603F">
        <w:rPr>
          <w:rFonts w:cs="Times New Roman"/>
          <w:sz w:val="24"/>
          <w:szCs w:val="24"/>
        </w:rPr>
        <w:t>.</w:t>
      </w:r>
      <w:r w:rsidR="00AD4F9E" w:rsidRPr="006664B9">
        <w:rPr>
          <w:rFonts w:cs="Times New Roman"/>
          <w:sz w:val="24"/>
          <w:szCs w:val="24"/>
        </w:rPr>
        <w:t>948</w:t>
      </w:r>
      <w:r w:rsidRPr="006664B9">
        <w:rPr>
          <w:rFonts w:cs="Times New Roman"/>
          <w:sz w:val="24"/>
          <w:szCs w:val="24"/>
        </w:rPr>
        <w:t>,</w:t>
      </w:r>
      <w:r w:rsidR="00AD4F9E" w:rsidRPr="006664B9">
        <w:rPr>
          <w:rFonts w:cs="Times New Roman"/>
          <w:sz w:val="24"/>
          <w:szCs w:val="24"/>
        </w:rPr>
        <w:t>00</w:t>
      </w:r>
      <w:r w:rsidRPr="006664B9">
        <w:rPr>
          <w:rFonts w:cs="Times New Roman"/>
          <w:sz w:val="24"/>
          <w:szCs w:val="24"/>
        </w:rPr>
        <w:t xml:space="preserve"> zł, natomiast zrealizowane w pierwszym półroczu w kwocie </w:t>
      </w:r>
      <w:r w:rsidR="00AD4F9E" w:rsidRPr="006664B9">
        <w:rPr>
          <w:rFonts w:cs="Times New Roman"/>
          <w:sz w:val="24"/>
          <w:szCs w:val="24"/>
        </w:rPr>
        <w:t>1</w:t>
      </w:r>
      <w:r w:rsidR="00BF603F">
        <w:rPr>
          <w:rFonts w:cs="Times New Roman"/>
          <w:sz w:val="24"/>
          <w:szCs w:val="24"/>
        </w:rPr>
        <w:t>.</w:t>
      </w:r>
      <w:r w:rsidR="00AD4F9E" w:rsidRPr="006664B9">
        <w:rPr>
          <w:rFonts w:cs="Times New Roman"/>
          <w:sz w:val="24"/>
          <w:szCs w:val="24"/>
        </w:rPr>
        <w:t>037</w:t>
      </w:r>
      <w:r w:rsidR="00BF603F">
        <w:rPr>
          <w:rFonts w:cs="Times New Roman"/>
          <w:sz w:val="24"/>
          <w:szCs w:val="24"/>
        </w:rPr>
        <w:t>.</w:t>
      </w:r>
      <w:r w:rsidR="00AD4F9E" w:rsidRPr="006664B9">
        <w:rPr>
          <w:rFonts w:cs="Times New Roman"/>
          <w:sz w:val="24"/>
          <w:szCs w:val="24"/>
        </w:rPr>
        <w:t xml:space="preserve">628,00 </w:t>
      </w:r>
      <w:r w:rsidRPr="006664B9">
        <w:rPr>
          <w:rFonts w:cs="Times New Roman"/>
          <w:sz w:val="24"/>
          <w:szCs w:val="24"/>
        </w:rPr>
        <w:t xml:space="preserve">zł, co stanowi </w:t>
      </w:r>
      <w:r w:rsidR="00AD4F9E" w:rsidRPr="006664B9">
        <w:rPr>
          <w:rFonts w:cs="Times New Roman"/>
          <w:sz w:val="24"/>
          <w:szCs w:val="24"/>
        </w:rPr>
        <w:t>48,83</w:t>
      </w:r>
      <w:r w:rsidRPr="006664B9">
        <w:rPr>
          <w:rFonts w:cs="Times New Roman"/>
          <w:sz w:val="24"/>
          <w:szCs w:val="24"/>
        </w:rPr>
        <w:t>% realizacji planu.</w:t>
      </w:r>
      <w:r w:rsidR="00AD4F9E" w:rsidRPr="006664B9">
        <w:rPr>
          <w:rFonts w:cs="Times New Roman"/>
          <w:sz w:val="24"/>
          <w:szCs w:val="24"/>
        </w:rPr>
        <w:t xml:space="preserve"> </w:t>
      </w:r>
      <w:r w:rsidRPr="006664B9">
        <w:rPr>
          <w:rFonts w:cs="Times New Roman"/>
          <w:sz w:val="24"/>
          <w:szCs w:val="24"/>
        </w:rPr>
        <w:t>Gmina uzyskała</w:t>
      </w:r>
      <w:r w:rsidR="00AD4F9E" w:rsidRPr="006664B9">
        <w:rPr>
          <w:rFonts w:cs="Times New Roman"/>
          <w:sz w:val="24"/>
          <w:szCs w:val="24"/>
        </w:rPr>
        <w:t xml:space="preserve"> środki z Rządowego Funduszu Polski Ład: Program Inwestycji Strategicznych </w:t>
      </w:r>
      <w:r w:rsidR="00BF603F">
        <w:rPr>
          <w:rFonts w:cs="Times New Roman"/>
          <w:sz w:val="24"/>
          <w:szCs w:val="24"/>
        </w:rPr>
        <w:t xml:space="preserve">                                  </w:t>
      </w:r>
      <w:r w:rsidR="00AD4F9E" w:rsidRPr="006664B9">
        <w:rPr>
          <w:rFonts w:cs="Times New Roman"/>
          <w:sz w:val="24"/>
          <w:szCs w:val="24"/>
        </w:rPr>
        <w:t>na realizację zadnia inwestycyjnego pn. „Budowa drogi gminnej nr 000247F w Popowi</w:t>
      </w:r>
      <w:r w:rsidR="00E11C36" w:rsidRPr="006664B9">
        <w:rPr>
          <w:rFonts w:cs="Times New Roman"/>
          <w:sz w:val="24"/>
          <w:szCs w:val="24"/>
        </w:rPr>
        <w:t>e</w:t>
      </w:r>
      <w:r w:rsidR="00AD4F9E" w:rsidRPr="006664B9">
        <w:rPr>
          <w:rFonts w:cs="Times New Roman"/>
          <w:sz w:val="24"/>
          <w:szCs w:val="24"/>
        </w:rPr>
        <w:t>”</w:t>
      </w:r>
      <w:r w:rsidR="00E11C36" w:rsidRPr="006664B9">
        <w:rPr>
          <w:rFonts w:cs="Times New Roman"/>
          <w:sz w:val="24"/>
          <w:szCs w:val="24"/>
        </w:rPr>
        <w:t xml:space="preserve">. </w:t>
      </w:r>
    </w:p>
    <w:p w14:paraId="7BFD65A7" w14:textId="77777777" w:rsidR="00BF603F" w:rsidRDefault="00BF603F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</w:p>
    <w:p w14:paraId="79702661" w14:textId="584F79B8" w:rsidR="00EC5B8E" w:rsidRPr="006664B9" w:rsidRDefault="00000000" w:rsidP="006664B9">
      <w:pPr>
        <w:pStyle w:val="SmallSubtitle"/>
        <w:spacing w:before="0" w:after="0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Wydatki</w:t>
      </w:r>
    </w:p>
    <w:p w14:paraId="5E7D6287" w14:textId="14A74426" w:rsidR="00EC5B8E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 xml:space="preserve">Wydatki budżetu Gminy w pierwszym półroczu 2023 roku wyniosły </w:t>
      </w:r>
      <w:r w:rsidR="0047084A" w:rsidRPr="006664B9">
        <w:rPr>
          <w:rFonts w:cs="Times New Roman"/>
          <w:sz w:val="24"/>
          <w:szCs w:val="24"/>
        </w:rPr>
        <w:t>11</w:t>
      </w:r>
      <w:r w:rsidR="00BF603F">
        <w:rPr>
          <w:rFonts w:cs="Times New Roman"/>
          <w:sz w:val="24"/>
          <w:szCs w:val="24"/>
        </w:rPr>
        <w:t>.</w:t>
      </w:r>
      <w:r w:rsidR="0047084A" w:rsidRPr="006664B9">
        <w:rPr>
          <w:rFonts w:cs="Times New Roman"/>
          <w:sz w:val="24"/>
          <w:szCs w:val="24"/>
        </w:rPr>
        <w:t>445</w:t>
      </w:r>
      <w:r w:rsidR="00BF603F">
        <w:rPr>
          <w:rFonts w:cs="Times New Roman"/>
          <w:sz w:val="24"/>
          <w:szCs w:val="24"/>
        </w:rPr>
        <w:t>.</w:t>
      </w:r>
      <w:r w:rsidR="0047084A" w:rsidRPr="006664B9">
        <w:rPr>
          <w:rFonts w:cs="Times New Roman"/>
          <w:sz w:val="24"/>
          <w:szCs w:val="24"/>
        </w:rPr>
        <w:t xml:space="preserve">434,54 </w:t>
      </w:r>
      <w:r w:rsidRPr="006664B9">
        <w:rPr>
          <w:rFonts w:cs="Times New Roman"/>
          <w:sz w:val="24"/>
          <w:szCs w:val="24"/>
        </w:rPr>
        <w:t xml:space="preserve">zł, a ich realizacja wyniosła </w:t>
      </w:r>
      <w:r w:rsidR="0047084A" w:rsidRPr="006664B9">
        <w:rPr>
          <w:rFonts w:cs="Times New Roman"/>
          <w:sz w:val="24"/>
          <w:szCs w:val="24"/>
        </w:rPr>
        <w:t>45,52%</w:t>
      </w:r>
      <w:r w:rsidRPr="006664B9">
        <w:rPr>
          <w:rFonts w:cs="Times New Roman"/>
          <w:sz w:val="24"/>
          <w:szCs w:val="24"/>
        </w:rPr>
        <w:t xml:space="preserve"> planu wynoszącego </w:t>
      </w:r>
      <w:r w:rsidR="0047084A" w:rsidRPr="006664B9">
        <w:rPr>
          <w:rFonts w:cs="Times New Roman"/>
          <w:sz w:val="24"/>
          <w:szCs w:val="24"/>
        </w:rPr>
        <w:t>25</w:t>
      </w:r>
      <w:r w:rsidR="00BF603F">
        <w:rPr>
          <w:rFonts w:cs="Times New Roman"/>
          <w:sz w:val="24"/>
          <w:szCs w:val="24"/>
        </w:rPr>
        <w:t>.</w:t>
      </w:r>
      <w:r w:rsidR="0047084A" w:rsidRPr="006664B9">
        <w:rPr>
          <w:rFonts w:cs="Times New Roman"/>
          <w:sz w:val="24"/>
          <w:szCs w:val="24"/>
        </w:rPr>
        <w:t>144</w:t>
      </w:r>
      <w:r w:rsidR="00BF603F">
        <w:rPr>
          <w:rFonts w:cs="Times New Roman"/>
          <w:sz w:val="24"/>
          <w:szCs w:val="24"/>
        </w:rPr>
        <w:t>.</w:t>
      </w:r>
      <w:r w:rsidR="0047084A" w:rsidRPr="006664B9">
        <w:rPr>
          <w:rFonts w:cs="Times New Roman"/>
          <w:sz w:val="24"/>
          <w:szCs w:val="24"/>
        </w:rPr>
        <w:t xml:space="preserve">313,85 </w:t>
      </w:r>
      <w:r w:rsidRPr="006664B9">
        <w:rPr>
          <w:rFonts w:cs="Times New Roman"/>
          <w:sz w:val="24"/>
          <w:szCs w:val="24"/>
        </w:rPr>
        <w:t xml:space="preserve">zł. W pierwszym półroczu 2023 roku wydatki bieżące zostały wykonane </w:t>
      </w:r>
      <w:r w:rsidR="0047084A" w:rsidRPr="006664B9">
        <w:rPr>
          <w:rFonts w:cs="Times New Roman"/>
          <w:sz w:val="24"/>
          <w:szCs w:val="24"/>
        </w:rPr>
        <w:t>w kwocie</w:t>
      </w:r>
      <w:r w:rsidR="00BF603F">
        <w:rPr>
          <w:rFonts w:cs="Times New Roman"/>
          <w:sz w:val="24"/>
          <w:szCs w:val="24"/>
        </w:rPr>
        <w:t xml:space="preserve"> </w:t>
      </w:r>
      <w:r w:rsidR="0047084A" w:rsidRPr="006664B9">
        <w:rPr>
          <w:rFonts w:cs="Times New Roman"/>
          <w:sz w:val="24"/>
          <w:szCs w:val="24"/>
        </w:rPr>
        <w:t>10</w:t>
      </w:r>
      <w:r w:rsidR="00BF603F">
        <w:rPr>
          <w:rFonts w:cs="Times New Roman"/>
          <w:sz w:val="24"/>
          <w:szCs w:val="24"/>
        </w:rPr>
        <w:t>.</w:t>
      </w:r>
      <w:r w:rsidR="0047084A" w:rsidRPr="006664B9">
        <w:rPr>
          <w:rFonts w:cs="Times New Roman"/>
          <w:sz w:val="24"/>
          <w:szCs w:val="24"/>
        </w:rPr>
        <w:t>263</w:t>
      </w:r>
      <w:r w:rsidR="00BF603F">
        <w:rPr>
          <w:rFonts w:cs="Times New Roman"/>
          <w:sz w:val="24"/>
          <w:szCs w:val="24"/>
        </w:rPr>
        <w:t>.</w:t>
      </w:r>
      <w:r w:rsidR="0047084A" w:rsidRPr="006664B9">
        <w:rPr>
          <w:rFonts w:cs="Times New Roman"/>
          <w:sz w:val="24"/>
          <w:szCs w:val="24"/>
        </w:rPr>
        <w:t xml:space="preserve">635,61 </w:t>
      </w:r>
      <w:r w:rsidRPr="006664B9">
        <w:rPr>
          <w:rFonts w:cs="Times New Roman"/>
          <w:sz w:val="24"/>
          <w:szCs w:val="24"/>
        </w:rPr>
        <w:t xml:space="preserve">zł, tj. w </w:t>
      </w:r>
      <w:r w:rsidR="0047084A" w:rsidRPr="006664B9">
        <w:rPr>
          <w:rFonts w:cs="Times New Roman"/>
          <w:sz w:val="24"/>
          <w:szCs w:val="24"/>
        </w:rPr>
        <w:t>48,51%</w:t>
      </w:r>
      <w:r w:rsidRPr="006664B9">
        <w:rPr>
          <w:rFonts w:cs="Times New Roman"/>
          <w:sz w:val="24"/>
          <w:szCs w:val="24"/>
        </w:rPr>
        <w:t xml:space="preserve"> w stosunku do planu po zmianach wynoszącego</w:t>
      </w:r>
      <w:r w:rsidR="0047084A" w:rsidRPr="006664B9">
        <w:rPr>
          <w:rFonts w:cs="Times New Roman"/>
          <w:sz w:val="24"/>
          <w:szCs w:val="24"/>
        </w:rPr>
        <w:t xml:space="preserve"> 21</w:t>
      </w:r>
      <w:r w:rsidR="00BF603F">
        <w:rPr>
          <w:rFonts w:cs="Times New Roman"/>
          <w:sz w:val="24"/>
          <w:szCs w:val="24"/>
        </w:rPr>
        <w:t>.</w:t>
      </w:r>
      <w:r w:rsidR="0047084A" w:rsidRPr="006664B9">
        <w:rPr>
          <w:rFonts w:cs="Times New Roman"/>
          <w:sz w:val="24"/>
          <w:szCs w:val="24"/>
        </w:rPr>
        <w:t>158</w:t>
      </w:r>
      <w:r w:rsidR="00BF603F">
        <w:rPr>
          <w:rFonts w:cs="Times New Roman"/>
          <w:sz w:val="24"/>
          <w:szCs w:val="24"/>
        </w:rPr>
        <w:t>.</w:t>
      </w:r>
      <w:r w:rsidR="0047084A" w:rsidRPr="006664B9">
        <w:rPr>
          <w:rFonts w:cs="Times New Roman"/>
          <w:sz w:val="24"/>
          <w:szCs w:val="24"/>
        </w:rPr>
        <w:t>765,12</w:t>
      </w:r>
      <w:r w:rsidRPr="006664B9">
        <w:rPr>
          <w:rFonts w:cs="Times New Roman"/>
          <w:sz w:val="24"/>
          <w:szCs w:val="24"/>
        </w:rPr>
        <w:t xml:space="preserve"> zł, z kolei majątkowe zostały wykonane </w:t>
      </w:r>
      <w:r w:rsidR="0047084A" w:rsidRPr="006664B9">
        <w:rPr>
          <w:rFonts w:cs="Times New Roman"/>
          <w:sz w:val="24"/>
          <w:szCs w:val="24"/>
        </w:rPr>
        <w:t xml:space="preserve">w kwocie </w:t>
      </w:r>
      <w:r w:rsidRPr="006664B9">
        <w:rPr>
          <w:rFonts w:cs="Times New Roman"/>
          <w:sz w:val="24"/>
          <w:szCs w:val="24"/>
        </w:rPr>
        <w:t xml:space="preserve"> </w:t>
      </w:r>
      <w:r w:rsidR="0047084A" w:rsidRPr="006664B9">
        <w:rPr>
          <w:rFonts w:cs="Times New Roman"/>
          <w:sz w:val="24"/>
          <w:szCs w:val="24"/>
        </w:rPr>
        <w:t>1</w:t>
      </w:r>
      <w:r w:rsidR="00BF603F">
        <w:rPr>
          <w:rFonts w:cs="Times New Roman"/>
          <w:sz w:val="24"/>
          <w:szCs w:val="24"/>
        </w:rPr>
        <w:t>.</w:t>
      </w:r>
      <w:r w:rsidR="0047084A" w:rsidRPr="006664B9">
        <w:rPr>
          <w:rFonts w:cs="Times New Roman"/>
          <w:sz w:val="24"/>
          <w:szCs w:val="24"/>
        </w:rPr>
        <w:t>181</w:t>
      </w:r>
      <w:r w:rsidR="00BF603F">
        <w:rPr>
          <w:rFonts w:cs="Times New Roman"/>
          <w:sz w:val="24"/>
          <w:szCs w:val="24"/>
        </w:rPr>
        <w:t>.</w:t>
      </w:r>
      <w:r w:rsidR="0047084A" w:rsidRPr="006664B9">
        <w:rPr>
          <w:rFonts w:cs="Times New Roman"/>
          <w:sz w:val="24"/>
          <w:szCs w:val="24"/>
        </w:rPr>
        <w:t xml:space="preserve">798,93 </w:t>
      </w:r>
      <w:r w:rsidRPr="006664B9">
        <w:rPr>
          <w:rFonts w:cs="Times New Roman"/>
          <w:sz w:val="24"/>
          <w:szCs w:val="24"/>
        </w:rPr>
        <w:t xml:space="preserve">zł, tj. </w:t>
      </w:r>
      <w:r w:rsidR="00BF603F">
        <w:rPr>
          <w:rFonts w:cs="Times New Roman"/>
          <w:sz w:val="24"/>
          <w:szCs w:val="24"/>
        </w:rPr>
        <w:t xml:space="preserve">                             </w:t>
      </w:r>
      <w:r w:rsidRPr="006664B9">
        <w:rPr>
          <w:rFonts w:cs="Times New Roman"/>
          <w:sz w:val="24"/>
          <w:szCs w:val="24"/>
        </w:rPr>
        <w:t xml:space="preserve">w </w:t>
      </w:r>
      <w:r w:rsidR="00A63B74" w:rsidRPr="006664B9">
        <w:rPr>
          <w:rFonts w:cs="Times New Roman"/>
          <w:sz w:val="24"/>
          <w:szCs w:val="24"/>
        </w:rPr>
        <w:t xml:space="preserve">29,65% </w:t>
      </w:r>
      <w:r w:rsidRPr="006664B9">
        <w:rPr>
          <w:rFonts w:cs="Times New Roman"/>
          <w:sz w:val="24"/>
          <w:szCs w:val="24"/>
        </w:rPr>
        <w:t xml:space="preserve">w stosunku do planu po zmianach wynoszącego </w:t>
      </w:r>
      <w:r w:rsidR="00A63B74" w:rsidRPr="006664B9">
        <w:rPr>
          <w:rFonts w:cs="Times New Roman"/>
          <w:sz w:val="24"/>
          <w:szCs w:val="24"/>
        </w:rPr>
        <w:t>3</w:t>
      </w:r>
      <w:r w:rsidR="00BF603F">
        <w:rPr>
          <w:rFonts w:cs="Times New Roman"/>
          <w:sz w:val="24"/>
          <w:szCs w:val="24"/>
        </w:rPr>
        <w:t>.</w:t>
      </w:r>
      <w:r w:rsidR="00A63B74" w:rsidRPr="006664B9">
        <w:rPr>
          <w:rFonts w:cs="Times New Roman"/>
          <w:sz w:val="24"/>
          <w:szCs w:val="24"/>
        </w:rPr>
        <w:t>985</w:t>
      </w:r>
      <w:r w:rsidR="00BF603F">
        <w:rPr>
          <w:rFonts w:cs="Times New Roman"/>
          <w:sz w:val="24"/>
          <w:szCs w:val="24"/>
        </w:rPr>
        <w:t>.</w:t>
      </w:r>
      <w:r w:rsidR="00A63B74" w:rsidRPr="006664B9">
        <w:rPr>
          <w:rFonts w:cs="Times New Roman"/>
          <w:sz w:val="24"/>
          <w:szCs w:val="24"/>
        </w:rPr>
        <w:t xml:space="preserve">548,73 </w:t>
      </w:r>
      <w:r w:rsidRPr="006664B9">
        <w:rPr>
          <w:rFonts w:cs="Times New Roman"/>
          <w:sz w:val="24"/>
          <w:szCs w:val="24"/>
        </w:rPr>
        <w:t>zł.</w:t>
      </w:r>
    </w:p>
    <w:p w14:paraId="1C9A4D57" w14:textId="77777777" w:rsidR="00BF603F" w:rsidRPr="006664B9" w:rsidRDefault="00BF603F" w:rsidP="006664B9">
      <w:pPr>
        <w:spacing w:after="0"/>
        <w:jc w:val="both"/>
        <w:rPr>
          <w:rFonts w:cs="Times New Roman"/>
          <w:sz w:val="24"/>
          <w:szCs w:val="24"/>
        </w:rPr>
      </w:pPr>
    </w:p>
    <w:p w14:paraId="0B39C8A9" w14:textId="77777777" w:rsidR="00EC5B8E" w:rsidRPr="006664B9" w:rsidRDefault="00000000" w:rsidP="006664B9">
      <w:pPr>
        <w:spacing w:after="0"/>
        <w:jc w:val="both"/>
        <w:rPr>
          <w:rFonts w:cs="Times New Roman"/>
          <w:sz w:val="24"/>
          <w:szCs w:val="24"/>
        </w:rPr>
      </w:pPr>
      <w:r w:rsidRPr="006664B9">
        <w:rPr>
          <w:rFonts w:cs="Times New Roman"/>
          <w:sz w:val="24"/>
          <w:szCs w:val="24"/>
        </w:rPr>
        <w:t>Realizację planu wydatków w pierwszym półroczu 2023 roku przedstawia tabela poniżej.</w:t>
      </w:r>
    </w:p>
    <w:tbl>
      <w:tblPr>
        <w:tblW w:w="98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396"/>
        <w:gridCol w:w="1276"/>
        <w:gridCol w:w="1275"/>
        <w:gridCol w:w="1276"/>
        <w:gridCol w:w="992"/>
        <w:gridCol w:w="935"/>
      </w:tblGrid>
      <w:tr w:rsidR="005450C0" w:rsidRPr="00B11588" w14:paraId="529C3766" w14:textId="43915E50" w:rsidTr="0047084A">
        <w:trPr>
          <w:trHeight w:val="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C70E10" w14:textId="77777777" w:rsidR="005450C0" w:rsidRPr="00B11588" w:rsidRDefault="005450C0" w:rsidP="007C4AA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82511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7353B4" w14:textId="77777777" w:rsidR="005450C0" w:rsidRPr="00B11588" w:rsidRDefault="005450C0" w:rsidP="007C4AA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82511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5EFCB4" w14:textId="77777777" w:rsidR="005450C0" w:rsidRPr="00B11588" w:rsidRDefault="005450C0" w:rsidP="007C4AA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082511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Plan </w:t>
            </w: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na dzień 1.01.</w:t>
            </w:r>
            <w:r w:rsidRPr="00082511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2023 </w:t>
            </w: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1156D6" w14:textId="77777777" w:rsidR="005450C0" w:rsidRPr="00B11588" w:rsidRDefault="005450C0" w:rsidP="007C4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82511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Plan na dzień 30.06.2023</w:t>
            </w: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3D3A96" w14:textId="77777777" w:rsidR="005450C0" w:rsidRDefault="005450C0" w:rsidP="007C4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82511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Wykonanie</w:t>
            </w:r>
          </w:p>
          <w:p w14:paraId="19FD8D99" w14:textId="77777777" w:rsidR="005450C0" w:rsidRPr="00B11588" w:rsidRDefault="005450C0" w:rsidP="007C4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2DD8DC" w14:textId="77777777" w:rsidR="005450C0" w:rsidRDefault="005450C0" w:rsidP="007C4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Realizacja planu</w:t>
            </w:r>
          </w:p>
          <w:p w14:paraId="0CE54532" w14:textId="77777777" w:rsidR="005450C0" w:rsidRPr="00B11588" w:rsidRDefault="005450C0" w:rsidP="007C4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(w </w:t>
            </w:r>
            <w:r w:rsidRPr="00082511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%</w:t>
            </w: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3565088" w14:textId="77777777" w:rsidR="005450C0" w:rsidRDefault="005450C0" w:rsidP="007C4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Udział</w:t>
            </w:r>
          </w:p>
          <w:p w14:paraId="3ADC084B" w14:textId="4E34E4D8" w:rsidR="005450C0" w:rsidRDefault="005450C0" w:rsidP="007C4A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(w </w:t>
            </w:r>
            <w:r w:rsidRPr="00082511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%</w:t>
            </w:r>
            <w:r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)</w:t>
            </w:r>
          </w:p>
        </w:tc>
      </w:tr>
      <w:tr w:rsidR="0047084A" w:rsidRPr="00B11588" w14:paraId="793C1BBD" w14:textId="15C242EF" w:rsidTr="005F7453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067E3" w14:textId="715E6F80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E6F85" w14:textId="49712061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7490520" w14:textId="0C6AF4E8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343 431,00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68539" w14:textId="4142CB39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925 873,69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1CB6D" w14:textId="0FBC804E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382 030,08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7025E7D7" w14:textId="4D92EA54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41,26%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588E9860" w14:textId="5304CB7B" w:rsidR="0047084A" w:rsidRPr="005F7453" w:rsidRDefault="001A44D0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3,34</w:t>
            </w:r>
          </w:p>
        </w:tc>
      </w:tr>
      <w:tr w:rsidR="0047084A" w:rsidRPr="00B11588" w14:paraId="4AA4FDDE" w14:textId="717874A3" w:rsidTr="005F7453">
        <w:trPr>
          <w:trHeight w:val="4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10C96" w14:textId="11919A2D" w:rsidR="0047084A" w:rsidRPr="005450C0" w:rsidRDefault="0047084A" w:rsidP="0047084A">
            <w:pPr>
              <w:spacing w:after="0" w:line="240" w:lineRule="auto"/>
              <w:ind w:hanging="67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020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C91C3" w14:textId="04CCBE68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Leśnictwo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D80B352" w14:textId="7E4226C5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4 489,00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BFD39" w14:textId="3A7B1802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DE4288" w14:textId="183488FC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1 179,84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33AB388B" w14:textId="3277F7AD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26,28%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351F8248" w14:textId="0925A947" w:rsidR="0047084A" w:rsidRPr="005F7453" w:rsidRDefault="001A44D0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0,0</w:t>
            </w:r>
            <w:r w:rsidR="005F7453">
              <w:rPr>
                <w:rFonts w:eastAsia="Times New Roman" w:cs="Times New Roman"/>
                <w:sz w:val="16"/>
                <w:szCs w:val="16"/>
                <w:lang w:eastAsia="pl-PL"/>
              </w:rPr>
              <w:t>0</w:t>
            </w:r>
          </w:p>
        </w:tc>
      </w:tr>
      <w:tr w:rsidR="0047084A" w:rsidRPr="00B11588" w14:paraId="662B734B" w14:textId="14D5E1BF" w:rsidTr="005F7453">
        <w:trPr>
          <w:trHeight w:val="1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C1187" w14:textId="53CAA4B6" w:rsidR="0047084A" w:rsidRPr="005450C0" w:rsidRDefault="0047084A" w:rsidP="0047084A">
            <w:pPr>
              <w:spacing w:after="0" w:line="240" w:lineRule="auto"/>
              <w:ind w:hanging="67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946C2" w14:textId="30455BE4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Wytwarzanie i zaopatrywanie w energię elektryczną, gaz i wodę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48C245F" w14:textId="6BDBA23F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196 238,00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C0438" w14:textId="1F54D773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596 238,00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A8930" w14:textId="3F65704E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313 818,79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0D0DD184" w14:textId="31922C9D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52,63%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6C420AD7" w14:textId="7B908338" w:rsidR="0047084A" w:rsidRPr="005F7453" w:rsidRDefault="001A44D0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2,7</w:t>
            </w:r>
            <w:r w:rsidR="005F7453">
              <w:rPr>
                <w:rFonts w:eastAsia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47084A" w:rsidRPr="00B11588" w14:paraId="799AA247" w14:textId="3CA6CB9F" w:rsidTr="005F7453">
        <w:trPr>
          <w:trHeight w:val="33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2E2E2" w14:textId="72E41668" w:rsidR="0047084A" w:rsidRPr="005450C0" w:rsidRDefault="0047084A" w:rsidP="0047084A">
            <w:pPr>
              <w:spacing w:after="0" w:line="240" w:lineRule="auto"/>
              <w:ind w:hanging="67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6BB64" w14:textId="33AA5774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77FA326" w14:textId="63EC4937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387 000,00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2CF01" w14:textId="14DA1EA3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1 460 345,00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C5046" w14:textId="4FC6596D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1 231 039,64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0AD07163" w14:textId="07619500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84,30%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65DE73CB" w14:textId="7EEE272A" w:rsidR="0047084A" w:rsidRPr="005F7453" w:rsidRDefault="001A44D0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10,76</w:t>
            </w:r>
          </w:p>
        </w:tc>
      </w:tr>
      <w:tr w:rsidR="0047084A" w:rsidRPr="00B11588" w14:paraId="33D0BDEF" w14:textId="220D1534" w:rsidTr="005F7453">
        <w:trPr>
          <w:trHeight w:val="3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06A4A" w14:textId="2C599ED5" w:rsidR="0047084A" w:rsidRPr="005450C0" w:rsidRDefault="0047084A" w:rsidP="0047084A">
            <w:pPr>
              <w:spacing w:after="0" w:line="240" w:lineRule="auto"/>
              <w:ind w:hanging="67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A7352" w14:textId="7D23FA51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Turystyka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FF6F3D8" w14:textId="7AC1A668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39 600,00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58467" w14:textId="0ED60E1D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39 600,00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E54294" w14:textId="459DD1C7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4 064,79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2E37F578" w14:textId="5285A2A6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10,26%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6AF3394A" w14:textId="02DF8F20" w:rsidR="0047084A" w:rsidRPr="005F7453" w:rsidRDefault="001A44D0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0,04</w:t>
            </w:r>
          </w:p>
        </w:tc>
      </w:tr>
      <w:tr w:rsidR="0047084A" w:rsidRPr="00B11588" w14:paraId="2D0473DC" w14:textId="0FE9BE14" w:rsidTr="005F7453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33C49" w14:textId="01CBFB62" w:rsidR="0047084A" w:rsidRPr="005450C0" w:rsidRDefault="0047084A" w:rsidP="0047084A">
            <w:pPr>
              <w:spacing w:after="0" w:line="240" w:lineRule="auto"/>
              <w:ind w:hanging="67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C9AC7" w14:textId="4D7360B0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Gospodarka mieszkaniowa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BCAB177" w14:textId="7219E568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290 617,00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6EEBB" w14:textId="44E8192B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298 317,00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01673C" w14:textId="6BBD8E99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80 861,97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7BE22077" w14:textId="62146AAE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27,11%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152DB1DA" w14:textId="7A21EA33" w:rsidR="0047084A" w:rsidRPr="005F7453" w:rsidRDefault="001A44D0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0,71</w:t>
            </w:r>
          </w:p>
        </w:tc>
      </w:tr>
      <w:tr w:rsidR="0047084A" w:rsidRPr="00B11588" w14:paraId="37EE4162" w14:textId="150CAE99" w:rsidTr="005F7453">
        <w:trPr>
          <w:trHeight w:val="3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D97DD" w14:textId="67146B6F" w:rsidR="0047084A" w:rsidRPr="005450C0" w:rsidRDefault="0047084A" w:rsidP="0047084A">
            <w:pPr>
              <w:spacing w:after="0" w:line="240" w:lineRule="auto"/>
              <w:ind w:hanging="67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7C411" w14:textId="31C42C0B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Działalność usługowa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8C97E4B" w14:textId="0E4A160F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85 000,00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ECCF9" w14:textId="171A6E06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A6277" w14:textId="444D9304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24 598,21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1F7072BB" w14:textId="6F0DD951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28,94%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2292D21D" w14:textId="2E813239" w:rsidR="0047084A" w:rsidRPr="005F7453" w:rsidRDefault="001A44D0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0,2</w:t>
            </w:r>
            <w:r w:rsidR="009771A0">
              <w:rPr>
                <w:rFonts w:eastAsia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47084A" w:rsidRPr="00B11588" w14:paraId="3B6A6D01" w14:textId="759374A7" w:rsidTr="005F7453">
        <w:trPr>
          <w:trHeight w:val="2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F1116" w14:textId="515A9796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F5394" w14:textId="21A64EAC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C4645C2" w14:textId="4B3CE3BD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2 645 164,00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EFA04" w14:textId="6BFBA921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2 673 099,07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FA63C9" w14:textId="0156E29A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1 269 479,31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00D30B70" w14:textId="7D3FF041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47,49%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34EF2DDE" w14:textId="521682A9" w:rsidR="0047084A" w:rsidRPr="005F7453" w:rsidRDefault="001A44D0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11,0</w:t>
            </w:r>
            <w:r w:rsidR="009771A0">
              <w:rPr>
                <w:rFonts w:eastAsia="Times New Roman" w:cs="Times New Roman"/>
                <w:sz w:val="16"/>
                <w:szCs w:val="16"/>
                <w:lang w:eastAsia="pl-PL"/>
              </w:rPr>
              <w:t>9</w:t>
            </w:r>
          </w:p>
        </w:tc>
      </w:tr>
      <w:tr w:rsidR="0047084A" w:rsidRPr="00B11588" w14:paraId="45DA6770" w14:textId="56BF7996" w:rsidTr="005F7453">
        <w:trPr>
          <w:trHeight w:val="4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4845F" w14:textId="150B4DDE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720FA" w14:textId="1FA05B0A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D790963" w14:textId="79F99C87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1 071,00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9EA63" w14:textId="309445BC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1 071,00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1C67B" w14:textId="18F0E44E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530,82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0D3859D1" w14:textId="6C73388F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49,56%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0AA84477" w14:textId="32D51422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0,0</w:t>
            </w:r>
            <w:r w:rsidR="009771A0">
              <w:rPr>
                <w:rFonts w:eastAsia="Times New Roman" w:cs="Times New Roman"/>
                <w:sz w:val="16"/>
                <w:szCs w:val="16"/>
                <w:lang w:eastAsia="pl-PL"/>
              </w:rPr>
              <w:t>0</w:t>
            </w:r>
          </w:p>
        </w:tc>
      </w:tr>
      <w:tr w:rsidR="0047084A" w:rsidRPr="00B11588" w14:paraId="2DE6E97A" w14:textId="74573BF4" w:rsidTr="005F7453">
        <w:trPr>
          <w:trHeight w:val="32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F1C96" w14:textId="29ADE927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88BB8" w14:textId="2BAF8697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Obrona narodowa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ED4FAE4" w14:textId="762472D5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47084A">
              <w:rPr>
                <w:rFonts w:eastAsia="Times New Roman" w:cs="Times New Roman"/>
                <w:bCs/>
                <w:i/>
                <w:i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9EFFF" w14:textId="434402C1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8C415" w14:textId="1B4DB6F2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1B37272F" w14:textId="0F701219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0,00%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51A3FEB8" w14:textId="55BF2951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084A" w:rsidRPr="00B11588" w14:paraId="73B07C40" w14:textId="1B6FB515" w:rsidTr="005F7453"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7B807" w14:textId="179489F6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B9BB0" w14:textId="3B4D5166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A10A327" w14:textId="7399C845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416 613,89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4FDE85" w14:textId="232A8E91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408 811,11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85581" w14:textId="5972F4B0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174 706,15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6A9510C0" w14:textId="2A21F934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42,74%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2782B11C" w14:textId="06D67B1A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1,53</w:t>
            </w:r>
          </w:p>
        </w:tc>
      </w:tr>
      <w:tr w:rsidR="0047084A" w:rsidRPr="00B11588" w14:paraId="20B0F91C" w14:textId="5BD147C7" w:rsidTr="005F7453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B8FAC" w14:textId="3620086A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38D07" w14:textId="54728829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Różne rozliczenia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AA633B0" w14:textId="6DA4E6C4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98 904,00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9C160" w14:textId="32AC0C18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98 904,00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1C62EF" w14:textId="7461FDA1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5 689,00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440C233F" w14:textId="6E4BFD1A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5,75%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06BB7783" w14:textId="0C98018E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0,05</w:t>
            </w:r>
          </w:p>
        </w:tc>
      </w:tr>
      <w:tr w:rsidR="0047084A" w:rsidRPr="00B11588" w14:paraId="16F309A9" w14:textId="60E48460" w:rsidTr="005F7453">
        <w:trPr>
          <w:trHeight w:val="2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17D1D" w14:textId="17968648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9A87D" w14:textId="10D9E632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C018CEA" w14:textId="06B1DC97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8 139 390,90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7CE1E" w14:textId="0D58D022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7 602 868,90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B17F5" w14:textId="7439B2C5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3 682 024,40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01D301A7" w14:textId="648C3829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48,43%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39B74206" w14:textId="1F131D69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32,17</w:t>
            </w:r>
          </w:p>
        </w:tc>
      </w:tr>
      <w:tr w:rsidR="0047084A" w:rsidRPr="00B11588" w14:paraId="63CC4C0B" w14:textId="466CB047" w:rsidTr="005F7453">
        <w:trPr>
          <w:trHeight w:val="2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657D5E" w14:textId="1260D66C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7B9B" w14:textId="280EA0F0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Ochrona zdrowia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C9DB7D4" w14:textId="70682F2C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35 743,00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24E01" w14:textId="233572E8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101 330,53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975E4B" w14:textId="72535BD3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54 914,77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34094C99" w14:textId="02F6B32E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54,19%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52B3744D" w14:textId="4CAC67D4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0,48</w:t>
            </w:r>
          </w:p>
        </w:tc>
      </w:tr>
      <w:tr w:rsidR="0047084A" w:rsidRPr="00B11588" w14:paraId="118E5327" w14:textId="49818603" w:rsidTr="005F7453">
        <w:trPr>
          <w:trHeight w:val="2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E2042" w14:textId="5440D766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4AC8" w14:textId="56945771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3D9CD72" w14:textId="67E68C2A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2 109 957,00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B72BF" w14:textId="5485FDDB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2 150 904,99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DC542" w14:textId="4D449333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943 140,60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31652D79" w14:textId="5ACFDACD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43,85%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08FF0B58" w14:textId="12760924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8,24</w:t>
            </w:r>
          </w:p>
        </w:tc>
      </w:tr>
      <w:tr w:rsidR="0047084A" w:rsidRPr="00B11588" w14:paraId="5C07DA3C" w14:textId="3B62D1D0" w:rsidTr="005F7453">
        <w:trPr>
          <w:trHeight w:val="2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8AAA1" w14:textId="13EB7FC4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6A373" w14:textId="4C914364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BC95F21" w14:textId="33CE0762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31B47" w14:textId="336890A7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525 862,45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A45AA" w14:textId="7309E20E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516 782,45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6E5F608C" w14:textId="5D322F64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98,27%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5917DDCC" w14:textId="4071D959" w:rsidR="0047084A" w:rsidRPr="009771A0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color w:val="D90912" w:themeColor="accent4"/>
                <w:sz w:val="16"/>
                <w:szCs w:val="16"/>
                <w:lang w:eastAsia="pl-PL"/>
              </w:rPr>
            </w:pPr>
            <w:r w:rsidRPr="009771A0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4,52</w:t>
            </w:r>
          </w:p>
        </w:tc>
      </w:tr>
      <w:tr w:rsidR="0047084A" w:rsidRPr="00B11588" w14:paraId="3182A791" w14:textId="03A4AEA9" w:rsidTr="005F7453">
        <w:trPr>
          <w:trHeight w:val="2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4C27E8" w14:textId="7BD32E36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3CFA3" w14:textId="6FA0DA7B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Edukacyjna opieka wychowawcza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F6190AE" w14:textId="4B2518D5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855B4" w14:textId="4D822531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11 597,00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CA2D9" w14:textId="6950F65A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5 435,00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50002B1C" w14:textId="6207D188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46,87%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5FCD2AD0" w14:textId="78AC68AD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0,05</w:t>
            </w:r>
          </w:p>
        </w:tc>
      </w:tr>
      <w:tr w:rsidR="0047084A" w:rsidRPr="00B11588" w14:paraId="012EE2FF" w14:textId="5CF047DA" w:rsidTr="005F7453">
        <w:trPr>
          <w:trHeight w:val="2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329B5" w14:textId="08EA8D1C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40243" w14:textId="2934185B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Rodzina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3178168" w14:textId="69367CEB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3 205 391,00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C4E0D" w14:textId="14D9B06E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3 175 961,78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AF5FB" w14:textId="60FE2B64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1 417 459,36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521B6CEF" w14:textId="11D38521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44,63%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09014B51" w14:textId="0B1A4153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12,3</w:t>
            </w:r>
            <w:r w:rsidR="009771A0">
              <w:rPr>
                <w:rFonts w:eastAsia="Times New Roman" w:cs="Times New Roman"/>
                <w:sz w:val="16"/>
                <w:szCs w:val="16"/>
                <w:lang w:eastAsia="pl-PL"/>
              </w:rPr>
              <w:t>8</w:t>
            </w:r>
          </w:p>
        </w:tc>
      </w:tr>
      <w:tr w:rsidR="0047084A" w:rsidRPr="00B11588" w14:paraId="19B904F2" w14:textId="11B32318" w:rsidTr="005F7453">
        <w:trPr>
          <w:trHeight w:val="2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C6FFC3" w14:textId="4E9722D7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EE5B6" w14:textId="17206C66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4CF3E85" w14:textId="6A631F88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3 987 281,38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E787D" w14:textId="7E522773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4 079 556,60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13D22" w14:textId="7AA708BE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951 106,39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20132682" w14:textId="75076558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23,31%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2055F9D5" w14:textId="2464F925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8,31</w:t>
            </w:r>
          </w:p>
        </w:tc>
      </w:tr>
      <w:tr w:rsidR="0047084A" w:rsidRPr="00B11588" w14:paraId="691B2B9A" w14:textId="1D5E1701" w:rsidTr="005F7453">
        <w:trPr>
          <w:trHeight w:val="2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F88D6" w14:textId="51EB33CF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15A2E" w14:textId="472F733A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F5D416B" w14:textId="77BD8E47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902 296,10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3943E" w14:textId="30C06F86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825 883,73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AD76E" w14:textId="37C7D8C8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325 711,43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18A766B0" w14:textId="08D43538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39,44%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3DA544CD" w14:textId="75102659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2,85</w:t>
            </w:r>
          </w:p>
        </w:tc>
      </w:tr>
      <w:tr w:rsidR="0047084A" w:rsidRPr="00B11588" w14:paraId="67CD7EA4" w14:textId="084D323C" w:rsidTr="005F7453">
        <w:trPr>
          <w:trHeight w:val="2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49F97" w14:textId="0264488C" w:rsidR="0047084A" w:rsidRPr="005450C0" w:rsidRDefault="0047084A" w:rsidP="0047084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B4C3A" w14:textId="5C3FD97B" w:rsidR="0047084A" w:rsidRPr="005450C0" w:rsidRDefault="0047084A" w:rsidP="0047084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8B84E3F" w14:textId="3E082CE2" w:rsidR="0047084A" w:rsidRPr="0047084A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47084A">
              <w:rPr>
                <w:rFonts w:cs="Times New Roman"/>
                <w:bCs/>
                <w:color w:val="000000"/>
                <w:sz w:val="16"/>
                <w:szCs w:val="16"/>
              </w:rPr>
              <w:t>74 300,00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EA66C" w14:textId="61832E2F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76 600,00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3476A" w14:textId="500A6089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60 861,54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center"/>
          </w:tcPr>
          <w:p w14:paraId="31B7809B" w14:textId="392654A4" w:rsidR="0047084A" w:rsidRPr="005450C0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sz w:val="16"/>
                <w:szCs w:val="16"/>
                <w:lang w:eastAsia="pl-PL"/>
              </w:rPr>
              <w:t>79,45%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</w:tcPr>
          <w:p w14:paraId="148CDF66" w14:textId="47BF2A67" w:rsidR="0047084A" w:rsidRPr="005F7453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5F7453">
              <w:rPr>
                <w:rFonts w:eastAsia="Times New Roman" w:cs="Times New Roman"/>
                <w:sz w:val="16"/>
                <w:szCs w:val="16"/>
                <w:lang w:eastAsia="pl-PL"/>
              </w:rPr>
              <w:t>0,5</w:t>
            </w:r>
            <w:r w:rsidR="009771A0">
              <w:rPr>
                <w:rFonts w:eastAsia="Times New Roman" w:cs="Times New Roman"/>
                <w:sz w:val="16"/>
                <w:szCs w:val="16"/>
                <w:lang w:eastAsia="pl-PL"/>
              </w:rPr>
              <w:t>3</w:t>
            </w:r>
          </w:p>
        </w:tc>
      </w:tr>
      <w:tr w:rsidR="0047084A" w:rsidRPr="00B11588" w14:paraId="7578E3D9" w14:textId="7D0E0B15" w:rsidTr="005F7453">
        <w:trPr>
          <w:trHeight w:val="3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59847" w14:textId="77777777" w:rsidR="0047084A" w:rsidRPr="00B11588" w:rsidRDefault="0047084A" w:rsidP="0047084A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7" w:name="_Hlk141338987"/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FC3DE" w14:textId="6185D7C9" w:rsidR="0047084A" w:rsidRPr="00B11588" w:rsidRDefault="0047084A" w:rsidP="0047084A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Wydatki ogółem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1A0107" w14:textId="61215701" w:rsidR="0047084A" w:rsidRPr="00B11588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1588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22 966 987,27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A63A3F" w14:textId="620B52C8" w:rsidR="0047084A" w:rsidRPr="00B11588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8" w:name="_Hlk141339009"/>
            <w:r w:rsidRPr="00C93299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25 144 313,85</w:t>
            </w:r>
            <w:bookmarkEnd w:id="8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15280C" w14:textId="0E89EE80" w:rsidR="0047084A" w:rsidRPr="00B11588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11 445 434,54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AE582A" w14:textId="5C8F4C96" w:rsidR="0047084A" w:rsidRPr="00B11588" w:rsidRDefault="0047084A" w:rsidP="0047084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93299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45,52%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C127A" w14:textId="4C993712" w:rsidR="0047084A" w:rsidRPr="00B11588" w:rsidRDefault="005F7453" w:rsidP="005F745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100,00</w:t>
            </w:r>
          </w:p>
        </w:tc>
      </w:tr>
      <w:bookmarkEnd w:id="7"/>
    </w:tbl>
    <w:p w14:paraId="60387DC8" w14:textId="77777777" w:rsidR="005450C0" w:rsidRDefault="005450C0">
      <w:pPr>
        <w:jc w:val="both"/>
      </w:pPr>
    </w:p>
    <w:p w14:paraId="59941C43" w14:textId="77777777" w:rsidR="005450C0" w:rsidRDefault="005450C0">
      <w:pPr>
        <w:jc w:val="both"/>
      </w:pPr>
    </w:p>
    <w:p w14:paraId="18FB4F5B" w14:textId="77777777" w:rsidR="00BF603F" w:rsidRDefault="00BF603F">
      <w:pPr>
        <w:jc w:val="both"/>
      </w:pPr>
    </w:p>
    <w:p w14:paraId="745F9B56" w14:textId="77777777" w:rsidR="00BF603F" w:rsidRDefault="00BF603F">
      <w:pPr>
        <w:jc w:val="both"/>
      </w:pPr>
    </w:p>
    <w:p w14:paraId="58EE7D54" w14:textId="11856612" w:rsidR="00EC5B8E" w:rsidRPr="004C545C" w:rsidRDefault="00000000">
      <w:pPr>
        <w:jc w:val="both"/>
        <w:rPr>
          <w:sz w:val="24"/>
          <w:szCs w:val="24"/>
        </w:rPr>
      </w:pPr>
      <w:r w:rsidRPr="004C545C">
        <w:rPr>
          <w:sz w:val="24"/>
          <w:szCs w:val="24"/>
        </w:rPr>
        <w:lastRenderedPageBreak/>
        <w:t>Podział wydatków wg rodzajów przedstawia się następująco:</w:t>
      </w:r>
    </w:p>
    <w:p w14:paraId="504AD95B" w14:textId="18B03070" w:rsidR="00EC5B8E" w:rsidRPr="004C545C" w:rsidRDefault="00000000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4C545C">
        <w:rPr>
          <w:sz w:val="24"/>
          <w:szCs w:val="24"/>
        </w:rPr>
        <w:t>wydatki bieżące zostały wykonane</w:t>
      </w:r>
      <w:r w:rsidR="00220B79" w:rsidRPr="004C545C">
        <w:rPr>
          <w:sz w:val="24"/>
          <w:szCs w:val="24"/>
        </w:rPr>
        <w:t xml:space="preserve"> w kwocie 10</w:t>
      </w:r>
      <w:r w:rsidR="004C545C">
        <w:rPr>
          <w:sz w:val="24"/>
          <w:szCs w:val="24"/>
        </w:rPr>
        <w:t>.</w:t>
      </w:r>
      <w:r w:rsidR="00220B79" w:rsidRPr="004C545C">
        <w:rPr>
          <w:sz w:val="24"/>
          <w:szCs w:val="24"/>
        </w:rPr>
        <w:t>263</w:t>
      </w:r>
      <w:r w:rsidR="004C545C">
        <w:rPr>
          <w:sz w:val="24"/>
          <w:szCs w:val="24"/>
        </w:rPr>
        <w:t>.</w:t>
      </w:r>
      <w:r w:rsidR="00220B79" w:rsidRPr="004C545C">
        <w:rPr>
          <w:sz w:val="24"/>
          <w:szCs w:val="24"/>
        </w:rPr>
        <w:t xml:space="preserve">635,61 </w:t>
      </w:r>
      <w:r w:rsidRPr="004C545C">
        <w:rPr>
          <w:sz w:val="24"/>
          <w:szCs w:val="24"/>
        </w:rPr>
        <w:t xml:space="preserve">zł, tj. w </w:t>
      </w:r>
      <w:r w:rsidR="00220B79" w:rsidRPr="004C545C">
        <w:rPr>
          <w:sz w:val="24"/>
          <w:szCs w:val="24"/>
        </w:rPr>
        <w:t xml:space="preserve">48,51% </w:t>
      </w:r>
      <w:r w:rsidRPr="004C545C">
        <w:rPr>
          <w:sz w:val="24"/>
          <w:szCs w:val="24"/>
        </w:rPr>
        <w:t xml:space="preserve">w stosunku do planu po zmianach wynoszącego </w:t>
      </w:r>
      <w:r w:rsidR="00224893" w:rsidRPr="004C545C">
        <w:rPr>
          <w:sz w:val="24"/>
          <w:szCs w:val="24"/>
        </w:rPr>
        <w:t>21</w:t>
      </w:r>
      <w:r w:rsidR="004C545C">
        <w:rPr>
          <w:sz w:val="24"/>
          <w:szCs w:val="24"/>
        </w:rPr>
        <w:t>.</w:t>
      </w:r>
      <w:r w:rsidR="00224893" w:rsidRPr="004C545C">
        <w:rPr>
          <w:sz w:val="24"/>
          <w:szCs w:val="24"/>
        </w:rPr>
        <w:t>158</w:t>
      </w:r>
      <w:r w:rsidR="004C545C">
        <w:rPr>
          <w:sz w:val="24"/>
          <w:szCs w:val="24"/>
        </w:rPr>
        <w:t>.</w:t>
      </w:r>
      <w:r w:rsidR="00224893" w:rsidRPr="004C545C">
        <w:rPr>
          <w:sz w:val="24"/>
          <w:szCs w:val="24"/>
        </w:rPr>
        <w:t xml:space="preserve">765,12 </w:t>
      </w:r>
      <w:r w:rsidRPr="004C545C">
        <w:rPr>
          <w:sz w:val="24"/>
          <w:szCs w:val="24"/>
        </w:rPr>
        <w:t>zł, z tego:</w:t>
      </w:r>
    </w:p>
    <w:p w14:paraId="628149BB" w14:textId="1285A9D4" w:rsidR="00EC5B8E" w:rsidRPr="004C545C" w:rsidRDefault="00000000" w:rsidP="00E95AB0">
      <w:pPr>
        <w:pStyle w:val="Akapitzlist"/>
        <w:numPr>
          <w:ilvl w:val="1"/>
          <w:numId w:val="35"/>
        </w:numPr>
        <w:ind w:left="993"/>
        <w:jc w:val="both"/>
        <w:rPr>
          <w:sz w:val="24"/>
          <w:szCs w:val="24"/>
        </w:rPr>
      </w:pPr>
      <w:r w:rsidRPr="004C545C">
        <w:rPr>
          <w:sz w:val="24"/>
          <w:szCs w:val="24"/>
        </w:rPr>
        <w:t xml:space="preserve">wynagrodzenia i składki od nich naliczane – </w:t>
      </w:r>
      <w:r w:rsidR="00E125B9" w:rsidRPr="004C545C">
        <w:rPr>
          <w:sz w:val="24"/>
          <w:szCs w:val="24"/>
        </w:rPr>
        <w:t xml:space="preserve"> </w:t>
      </w:r>
      <w:r w:rsidR="00052CE8" w:rsidRPr="004C545C">
        <w:rPr>
          <w:sz w:val="24"/>
          <w:szCs w:val="24"/>
        </w:rPr>
        <w:t>4</w:t>
      </w:r>
      <w:r w:rsidR="004C545C">
        <w:rPr>
          <w:sz w:val="24"/>
          <w:szCs w:val="24"/>
        </w:rPr>
        <w:t>.</w:t>
      </w:r>
      <w:r w:rsidR="00052CE8" w:rsidRPr="004C545C">
        <w:rPr>
          <w:sz w:val="24"/>
          <w:szCs w:val="24"/>
        </w:rPr>
        <w:t>001</w:t>
      </w:r>
      <w:r w:rsidR="004C545C">
        <w:rPr>
          <w:sz w:val="24"/>
          <w:szCs w:val="24"/>
        </w:rPr>
        <w:t>.</w:t>
      </w:r>
      <w:r w:rsidR="00052CE8" w:rsidRPr="004C545C">
        <w:rPr>
          <w:sz w:val="24"/>
          <w:szCs w:val="24"/>
        </w:rPr>
        <w:t xml:space="preserve">743,58 </w:t>
      </w:r>
      <w:r w:rsidRPr="004C545C">
        <w:rPr>
          <w:sz w:val="24"/>
          <w:szCs w:val="24"/>
        </w:rPr>
        <w:t xml:space="preserve">zł, tj. </w:t>
      </w:r>
      <w:r w:rsidR="00052CE8" w:rsidRPr="004C545C">
        <w:rPr>
          <w:sz w:val="24"/>
          <w:szCs w:val="24"/>
        </w:rPr>
        <w:t xml:space="preserve">47,77% </w:t>
      </w:r>
      <w:r w:rsidRPr="004C545C">
        <w:rPr>
          <w:sz w:val="24"/>
          <w:szCs w:val="24"/>
        </w:rPr>
        <w:t xml:space="preserve">planu wynoszącego </w:t>
      </w:r>
      <w:r w:rsidR="00224893" w:rsidRPr="004C545C">
        <w:rPr>
          <w:sz w:val="24"/>
          <w:szCs w:val="24"/>
        </w:rPr>
        <w:t>8</w:t>
      </w:r>
      <w:r w:rsidR="004C545C">
        <w:rPr>
          <w:sz w:val="24"/>
          <w:szCs w:val="24"/>
        </w:rPr>
        <w:t>.</w:t>
      </w:r>
      <w:r w:rsidR="00224893" w:rsidRPr="004C545C">
        <w:rPr>
          <w:sz w:val="24"/>
          <w:szCs w:val="24"/>
        </w:rPr>
        <w:t>377</w:t>
      </w:r>
      <w:r w:rsidR="004C545C">
        <w:rPr>
          <w:sz w:val="24"/>
          <w:szCs w:val="24"/>
        </w:rPr>
        <w:t>.</w:t>
      </w:r>
      <w:r w:rsidR="00224893" w:rsidRPr="004C545C">
        <w:rPr>
          <w:sz w:val="24"/>
          <w:szCs w:val="24"/>
        </w:rPr>
        <w:t>478,26</w:t>
      </w:r>
      <w:r w:rsidRPr="004C545C">
        <w:rPr>
          <w:sz w:val="24"/>
          <w:szCs w:val="24"/>
        </w:rPr>
        <w:t xml:space="preserve"> zł,</w:t>
      </w:r>
      <w:r w:rsidR="00224893" w:rsidRPr="004C545C">
        <w:rPr>
          <w:sz w:val="24"/>
          <w:szCs w:val="24"/>
        </w:rPr>
        <w:t xml:space="preserve"> </w:t>
      </w:r>
      <w:r w:rsidRPr="004C545C">
        <w:rPr>
          <w:sz w:val="24"/>
          <w:szCs w:val="24"/>
        </w:rPr>
        <w:t xml:space="preserve">z tego: wynagrodzenia osobowe pracowników </w:t>
      </w:r>
      <w:r w:rsidR="005B5943" w:rsidRPr="004C545C">
        <w:rPr>
          <w:sz w:val="24"/>
          <w:szCs w:val="24"/>
        </w:rPr>
        <w:t xml:space="preserve"> </w:t>
      </w:r>
      <w:r w:rsidR="004A4F76" w:rsidRPr="004C545C">
        <w:rPr>
          <w:sz w:val="24"/>
          <w:szCs w:val="24"/>
        </w:rPr>
        <w:t>1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>461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>733,67</w:t>
      </w:r>
      <w:r w:rsidR="004C545C">
        <w:rPr>
          <w:sz w:val="24"/>
          <w:szCs w:val="24"/>
        </w:rPr>
        <w:t xml:space="preserve"> </w:t>
      </w:r>
      <w:r w:rsidR="004A4F76" w:rsidRPr="004C545C">
        <w:rPr>
          <w:sz w:val="24"/>
          <w:szCs w:val="24"/>
        </w:rPr>
        <w:t>z</w:t>
      </w:r>
      <w:r w:rsidRPr="004C545C">
        <w:rPr>
          <w:sz w:val="24"/>
          <w:szCs w:val="24"/>
        </w:rPr>
        <w:t xml:space="preserve">ł, wynagrodzenia osobowe nauczycieli </w:t>
      </w:r>
      <w:r w:rsidR="004A4F76" w:rsidRPr="004C545C">
        <w:rPr>
          <w:sz w:val="24"/>
          <w:szCs w:val="24"/>
        </w:rPr>
        <w:t>1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>395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 xml:space="preserve">904,47 </w:t>
      </w:r>
      <w:r w:rsidRPr="004C545C">
        <w:rPr>
          <w:sz w:val="24"/>
          <w:szCs w:val="24"/>
        </w:rPr>
        <w:t xml:space="preserve">zł, składki na ubezpieczenia społeczne </w:t>
      </w:r>
      <w:r w:rsidR="004A4F76" w:rsidRPr="004C545C">
        <w:rPr>
          <w:sz w:val="24"/>
          <w:szCs w:val="24"/>
        </w:rPr>
        <w:t>527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 xml:space="preserve">176,91 </w:t>
      </w:r>
      <w:r w:rsidRPr="004C545C">
        <w:rPr>
          <w:sz w:val="24"/>
          <w:szCs w:val="24"/>
        </w:rPr>
        <w:t xml:space="preserve">zł, dodatkowe wynagrodzenie roczne nauczycieli </w:t>
      </w:r>
      <w:r w:rsidR="004A4F76" w:rsidRPr="004C545C">
        <w:rPr>
          <w:sz w:val="24"/>
          <w:szCs w:val="24"/>
        </w:rPr>
        <w:t>200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 xml:space="preserve">142,68 </w:t>
      </w:r>
      <w:r w:rsidRPr="004C545C">
        <w:rPr>
          <w:sz w:val="24"/>
          <w:szCs w:val="24"/>
        </w:rPr>
        <w:t xml:space="preserve">zł, dodatkowe wynagrodzenie roczne </w:t>
      </w:r>
      <w:r w:rsidR="004A4F76" w:rsidRPr="004C545C">
        <w:rPr>
          <w:sz w:val="24"/>
          <w:szCs w:val="24"/>
        </w:rPr>
        <w:t>200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 xml:space="preserve">123,41 </w:t>
      </w:r>
      <w:r w:rsidRPr="004C545C">
        <w:rPr>
          <w:sz w:val="24"/>
          <w:szCs w:val="24"/>
        </w:rPr>
        <w:t xml:space="preserve">zł, wynagrodzenia bezosobowe </w:t>
      </w:r>
      <w:r w:rsidR="004A4F76" w:rsidRPr="004C545C">
        <w:rPr>
          <w:sz w:val="24"/>
          <w:szCs w:val="24"/>
        </w:rPr>
        <w:t>109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>541,24</w:t>
      </w:r>
      <w:r w:rsidR="004C545C">
        <w:rPr>
          <w:sz w:val="24"/>
          <w:szCs w:val="24"/>
        </w:rPr>
        <w:t xml:space="preserve"> </w:t>
      </w:r>
      <w:r w:rsidRPr="004C545C">
        <w:rPr>
          <w:sz w:val="24"/>
          <w:szCs w:val="24"/>
        </w:rPr>
        <w:t xml:space="preserve">zł, wynagrodzenia nauczycieli wypłacane w związku z pomocą obywatelom Ukrainy </w:t>
      </w:r>
      <w:r w:rsidR="005B5943" w:rsidRPr="004C545C">
        <w:rPr>
          <w:sz w:val="24"/>
          <w:szCs w:val="24"/>
        </w:rPr>
        <w:t xml:space="preserve">                          </w:t>
      </w:r>
      <w:r w:rsidRPr="004C545C">
        <w:rPr>
          <w:sz w:val="24"/>
          <w:szCs w:val="24"/>
        </w:rPr>
        <w:t xml:space="preserve"> </w:t>
      </w:r>
      <w:r w:rsidR="004A4F76" w:rsidRPr="004C545C">
        <w:rPr>
          <w:sz w:val="24"/>
          <w:szCs w:val="24"/>
        </w:rPr>
        <w:t>20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 xml:space="preserve">558,38 </w:t>
      </w:r>
      <w:r w:rsidRPr="004C545C">
        <w:rPr>
          <w:sz w:val="24"/>
          <w:szCs w:val="24"/>
        </w:rPr>
        <w:t xml:space="preserve">zł, składki na Fundusz Pracy oraz Fundusz Solidarnościowy </w:t>
      </w:r>
      <w:r w:rsidR="004A4F76" w:rsidRPr="004C545C">
        <w:rPr>
          <w:sz w:val="24"/>
          <w:szCs w:val="24"/>
        </w:rPr>
        <w:t>51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 xml:space="preserve">774,44 </w:t>
      </w:r>
      <w:r w:rsidRPr="004C545C">
        <w:rPr>
          <w:sz w:val="24"/>
          <w:szCs w:val="24"/>
        </w:rPr>
        <w:t xml:space="preserve">zł, składki i inne pochodne od wynagrodzeń pracowników wypłacanych w związku z pomocą obywatelom Ukrainy </w:t>
      </w:r>
      <w:r w:rsidR="004A4F76" w:rsidRPr="004C545C">
        <w:rPr>
          <w:sz w:val="24"/>
          <w:szCs w:val="24"/>
        </w:rPr>
        <w:t>4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 xml:space="preserve">158,99 </w:t>
      </w:r>
      <w:r w:rsidRPr="004C545C">
        <w:rPr>
          <w:sz w:val="24"/>
          <w:szCs w:val="24"/>
        </w:rPr>
        <w:t>zł, wynagrodzenia</w:t>
      </w:r>
      <w:r w:rsidR="004A4F76" w:rsidRPr="004C545C">
        <w:rPr>
          <w:sz w:val="24"/>
          <w:szCs w:val="24"/>
        </w:rPr>
        <w:t xml:space="preserve"> </w:t>
      </w:r>
      <w:r w:rsidRPr="004C545C">
        <w:rPr>
          <w:sz w:val="24"/>
          <w:szCs w:val="24"/>
        </w:rPr>
        <w:t xml:space="preserve">i uposażenia wypłacane w związku </w:t>
      </w:r>
      <w:r w:rsidR="004C545C">
        <w:rPr>
          <w:sz w:val="24"/>
          <w:szCs w:val="24"/>
        </w:rPr>
        <w:t xml:space="preserve">                               </w:t>
      </w:r>
      <w:r w:rsidRPr="004C545C">
        <w:rPr>
          <w:sz w:val="24"/>
          <w:szCs w:val="24"/>
        </w:rPr>
        <w:t>z pomocą obywatelom Ukrainy</w:t>
      </w:r>
      <w:r w:rsidR="004A4F76" w:rsidRPr="004C545C">
        <w:rPr>
          <w:sz w:val="24"/>
          <w:szCs w:val="24"/>
        </w:rPr>
        <w:t xml:space="preserve"> 108,91 </w:t>
      </w:r>
      <w:r w:rsidRPr="004C545C">
        <w:rPr>
          <w:sz w:val="24"/>
          <w:szCs w:val="24"/>
        </w:rPr>
        <w:t xml:space="preserve">zł, wynagrodzenia agencyjno-prowizyjne </w:t>
      </w:r>
      <w:r w:rsidR="005B5943" w:rsidRPr="004C545C">
        <w:rPr>
          <w:sz w:val="24"/>
          <w:szCs w:val="24"/>
        </w:rPr>
        <w:t xml:space="preserve"> </w:t>
      </w:r>
      <w:r w:rsidR="004A4F76" w:rsidRPr="004C545C">
        <w:rPr>
          <w:sz w:val="24"/>
          <w:szCs w:val="24"/>
        </w:rPr>
        <w:t>22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>880,20</w:t>
      </w:r>
      <w:r w:rsidRPr="004C545C">
        <w:rPr>
          <w:sz w:val="24"/>
          <w:szCs w:val="24"/>
        </w:rPr>
        <w:t>zł,</w:t>
      </w:r>
      <w:r w:rsidR="004A4F76" w:rsidRPr="004C545C">
        <w:rPr>
          <w:sz w:val="24"/>
          <w:szCs w:val="24"/>
        </w:rPr>
        <w:t xml:space="preserve"> </w:t>
      </w:r>
      <w:r w:rsidRPr="004C545C">
        <w:rPr>
          <w:sz w:val="24"/>
          <w:szCs w:val="24"/>
        </w:rPr>
        <w:t xml:space="preserve">wpłaty na PPK finansowane przez podmiot zatrudniający </w:t>
      </w:r>
      <w:r w:rsidR="004A4F76" w:rsidRPr="004C545C">
        <w:rPr>
          <w:sz w:val="24"/>
          <w:szCs w:val="24"/>
        </w:rPr>
        <w:t>7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>640,28</w:t>
      </w:r>
      <w:r w:rsidR="005B5943" w:rsidRPr="004C545C">
        <w:rPr>
          <w:sz w:val="24"/>
          <w:szCs w:val="24"/>
        </w:rPr>
        <w:t xml:space="preserve"> zł</w:t>
      </w:r>
      <w:r w:rsidRPr="004C545C">
        <w:rPr>
          <w:sz w:val="24"/>
          <w:szCs w:val="24"/>
        </w:rPr>
        <w:t>;</w:t>
      </w:r>
    </w:p>
    <w:p w14:paraId="14F66453" w14:textId="7B4AF056" w:rsidR="00EC5B8E" w:rsidRPr="004C545C" w:rsidRDefault="00000000" w:rsidP="00E95AB0">
      <w:pPr>
        <w:pStyle w:val="Akapitzlist"/>
        <w:numPr>
          <w:ilvl w:val="1"/>
          <w:numId w:val="35"/>
        </w:numPr>
        <w:ind w:left="993"/>
        <w:jc w:val="both"/>
        <w:rPr>
          <w:sz w:val="24"/>
          <w:szCs w:val="24"/>
        </w:rPr>
      </w:pPr>
      <w:r w:rsidRPr="004C545C">
        <w:rPr>
          <w:sz w:val="24"/>
          <w:szCs w:val="24"/>
        </w:rPr>
        <w:t xml:space="preserve">świadczenia na rzecz osób fizycznych – </w:t>
      </w:r>
      <w:r w:rsidR="00E85A37" w:rsidRPr="004C545C">
        <w:rPr>
          <w:sz w:val="24"/>
          <w:szCs w:val="24"/>
        </w:rPr>
        <w:t xml:space="preserve"> 1</w:t>
      </w:r>
      <w:r w:rsidR="004C545C">
        <w:rPr>
          <w:sz w:val="24"/>
          <w:szCs w:val="24"/>
        </w:rPr>
        <w:t>.</w:t>
      </w:r>
      <w:r w:rsidR="00E85A37" w:rsidRPr="004C545C">
        <w:rPr>
          <w:sz w:val="24"/>
          <w:szCs w:val="24"/>
        </w:rPr>
        <w:t>751</w:t>
      </w:r>
      <w:r w:rsidR="004C545C">
        <w:rPr>
          <w:sz w:val="24"/>
          <w:szCs w:val="24"/>
        </w:rPr>
        <w:t>.</w:t>
      </w:r>
      <w:r w:rsidR="00E85A37" w:rsidRPr="004C545C">
        <w:rPr>
          <w:sz w:val="24"/>
          <w:szCs w:val="24"/>
        </w:rPr>
        <w:t>074,02</w:t>
      </w:r>
      <w:r w:rsidRPr="004C545C">
        <w:rPr>
          <w:color w:val="FF0000"/>
          <w:sz w:val="24"/>
          <w:szCs w:val="24"/>
        </w:rPr>
        <w:t xml:space="preserve"> </w:t>
      </w:r>
      <w:r w:rsidRPr="004C545C">
        <w:rPr>
          <w:sz w:val="24"/>
          <w:szCs w:val="24"/>
        </w:rPr>
        <w:t xml:space="preserve">zł, tj. </w:t>
      </w:r>
      <w:r w:rsidR="00E85A37" w:rsidRPr="004C545C">
        <w:rPr>
          <w:sz w:val="24"/>
          <w:szCs w:val="24"/>
        </w:rPr>
        <w:t>49,54</w:t>
      </w:r>
      <w:r w:rsidRPr="004C545C">
        <w:rPr>
          <w:sz w:val="24"/>
          <w:szCs w:val="24"/>
        </w:rPr>
        <w:t xml:space="preserve">% planu wynoszącego </w:t>
      </w:r>
      <w:r w:rsidR="00224893" w:rsidRPr="004C545C">
        <w:rPr>
          <w:sz w:val="24"/>
          <w:szCs w:val="24"/>
        </w:rPr>
        <w:t>3</w:t>
      </w:r>
      <w:r w:rsidR="004C545C">
        <w:rPr>
          <w:sz w:val="24"/>
          <w:szCs w:val="24"/>
        </w:rPr>
        <w:t>.</w:t>
      </w:r>
      <w:r w:rsidR="00224893" w:rsidRPr="004C545C">
        <w:rPr>
          <w:sz w:val="24"/>
          <w:szCs w:val="24"/>
        </w:rPr>
        <w:t>534</w:t>
      </w:r>
      <w:r w:rsidR="004C545C">
        <w:rPr>
          <w:sz w:val="24"/>
          <w:szCs w:val="24"/>
        </w:rPr>
        <w:t>.</w:t>
      </w:r>
      <w:r w:rsidR="00224893" w:rsidRPr="004C545C">
        <w:rPr>
          <w:sz w:val="24"/>
          <w:szCs w:val="24"/>
        </w:rPr>
        <w:t>948,95</w:t>
      </w:r>
      <w:r w:rsidRPr="004C545C">
        <w:rPr>
          <w:sz w:val="24"/>
          <w:szCs w:val="24"/>
        </w:rPr>
        <w:t xml:space="preserve"> zł, z tego: świadczenia społeczne</w:t>
      </w:r>
      <w:r w:rsidR="004A4F76" w:rsidRPr="004C545C">
        <w:rPr>
          <w:sz w:val="24"/>
          <w:szCs w:val="24"/>
        </w:rPr>
        <w:t xml:space="preserve"> </w:t>
      </w:r>
      <w:r w:rsidRPr="004C545C">
        <w:rPr>
          <w:sz w:val="24"/>
          <w:szCs w:val="24"/>
        </w:rPr>
        <w:t xml:space="preserve"> </w:t>
      </w:r>
      <w:r w:rsidR="004A4F76" w:rsidRPr="004C545C">
        <w:rPr>
          <w:sz w:val="24"/>
          <w:szCs w:val="24"/>
        </w:rPr>
        <w:t>1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>484</w:t>
      </w:r>
      <w:r w:rsidR="004C545C">
        <w:rPr>
          <w:sz w:val="24"/>
          <w:szCs w:val="24"/>
        </w:rPr>
        <w:t>.</w:t>
      </w:r>
      <w:r w:rsidR="004A4F76" w:rsidRPr="004C545C">
        <w:rPr>
          <w:sz w:val="24"/>
          <w:szCs w:val="24"/>
        </w:rPr>
        <w:t xml:space="preserve">846,15 </w:t>
      </w:r>
      <w:r w:rsidRPr="004C545C">
        <w:rPr>
          <w:sz w:val="24"/>
          <w:szCs w:val="24"/>
        </w:rPr>
        <w:t>zł, świadczenia związane</w:t>
      </w:r>
      <w:r w:rsidR="004C545C">
        <w:rPr>
          <w:sz w:val="24"/>
          <w:szCs w:val="24"/>
        </w:rPr>
        <w:t xml:space="preserve">                           </w:t>
      </w:r>
      <w:r w:rsidRPr="004C545C">
        <w:rPr>
          <w:sz w:val="24"/>
          <w:szCs w:val="24"/>
        </w:rPr>
        <w:t xml:space="preserve"> z udzielaniem pomocy obywatelom Ukrainy </w:t>
      </w:r>
      <w:r w:rsidR="00865E9B" w:rsidRPr="004C545C">
        <w:rPr>
          <w:sz w:val="24"/>
          <w:szCs w:val="24"/>
        </w:rPr>
        <w:t xml:space="preserve"> </w:t>
      </w:r>
      <w:r w:rsidR="0034264F" w:rsidRPr="004C545C">
        <w:rPr>
          <w:sz w:val="24"/>
          <w:szCs w:val="24"/>
        </w:rPr>
        <w:t>21</w:t>
      </w:r>
      <w:r w:rsidR="004C545C">
        <w:rPr>
          <w:sz w:val="24"/>
          <w:szCs w:val="24"/>
        </w:rPr>
        <w:t>.</w:t>
      </w:r>
      <w:r w:rsidR="0034264F" w:rsidRPr="004C545C">
        <w:rPr>
          <w:sz w:val="24"/>
          <w:szCs w:val="24"/>
        </w:rPr>
        <w:t xml:space="preserve">760,00 </w:t>
      </w:r>
      <w:r w:rsidRPr="004C545C">
        <w:rPr>
          <w:sz w:val="24"/>
          <w:szCs w:val="24"/>
        </w:rPr>
        <w:t xml:space="preserve">zł, wydatki osobowe niezaliczone </w:t>
      </w:r>
      <w:r w:rsidR="004C545C">
        <w:rPr>
          <w:sz w:val="24"/>
          <w:szCs w:val="24"/>
        </w:rPr>
        <w:t xml:space="preserve">                       </w:t>
      </w:r>
      <w:r w:rsidRPr="004C545C">
        <w:rPr>
          <w:sz w:val="24"/>
          <w:szCs w:val="24"/>
        </w:rPr>
        <w:t>do wynagrodzeń</w:t>
      </w:r>
      <w:r w:rsidR="00865E9B" w:rsidRPr="004C545C">
        <w:rPr>
          <w:sz w:val="24"/>
          <w:szCs w:val="24"/>
        </w:rPr>
        <w:t xml:space="preserve"> </w:t>
      </w:r>
      <w:r w:rsidR="0034264F" w:rsidRPr="004C545C">
        <w:rPr>
          <w:sz w:val="24"/>
          <w:szCs w:val="24"/>
        </w:rPr>
        <w:t>91</w:t>
      </w:r>
      <w:r w:rsidR="004C545C">
        <w:rPr>
          <w:sz w:val="24"/>
          <w:szCs w:val="24"/>
        </w:rPr>
        <w:t>.</w:t>
      </w:r>
      <w:r w:rsidR="0034264F" w:rsidRPr="004C545C">
        <w:rPr>
          <w:sz w:val="24"/>
          <w:szCs w:val="24"/>
        </w:rPr>
        <w:t xml:space="preserve">918,91 </w:t>
      </w:r>
      <w:r w:rsidRPr="004C545C">
        <w:rPr>
          <w:sz w:val="24"/>
          <w:szCs w:val="24"/>
        </w:rPr>
        <w:t>zł, różne wydatki na rzecz osób fizycznych</w:t>
      </w:r>
      <w:r w:rsidR="0034264F" w:rsidRPr="004C545C">
        <w:rPr>
          <w:sz w:val="24"/>
          <w:szCs w:val="24"/>
        </w:rPr>
        <w:t xml:space="preserve"> 135</w:t>
      </w:r>
      <w:r w:rsidR="004C545C">
        <w:rPr>
          <w:sz w:val="24"/>
          <w:szCs w:val="24"/>
        </w:rPr>
        <w:t>.</w:t>
      </w:r>
      <w:r w:rsidR="0034264F" w:rsidRPr="004C545C">
        <w:rPr>
          <w:sz w:val="24"/>
          <w:szCs w:val="24"/>
        </w:rPr>
        <w:t xml:space="preserve">930,92 </w:t>
      </w:r>
      <w:r w:rsidRPr="004C545C">
        <w:rPr>
          <w:sz w:val="24"/>
          <w:szCs w:val="24"/>
        </w:rPr>
        <w:t xml:space="preserve">zł, stypendia </w:t>
      </w:r>
      <w:r w:rsidR="00CE734D" w:rsidRPr="004C545C">
        <w:rPr>
          <w:sz w:val="24"/>
          <w:szCs w:val="24"/>
        </w:rPr>
        <w:t xml:space="preserve">i zasiłek szkolny </w:t>
      </w:r>
      <w:r w:rsidRPr="004C545C">
        <w:rPr>
          <w:sz w:val="24"/>
          <w:szCs w:val="24"/>
        </w:rPr>
        <w:t xml:space="preserve">dla uczniów </w:t>
      </w:r>
      <w:r w:rsidR="0034264F" w:rsidRPr="004C545C">
        <w:rPr>
          <w:sz w:val="24"/>
          <w:szCs w:val="24"/>
        </w:rPr>
        <w:t>8</w:t>
      </w:r>
      <w:r w:rsidR="004C545C">
        <w:rPr>
          <w:sz w:val="24"/>
          <w:szCs w:val="24"/>
        </w:rPr>
        <w:t>.</w:t>
      </w:r>
      <w:r w:rsidR="00CE734D" w:rsidRPr="004C545C">
        <w:rPr>
          <w:sz w:val="24"/>
          <w:szCs w:val="24"/>
        </w:rPr>
        <w:t>63</w:t>
      </w:r>
      <w:r w:rsidR="0034264F" w:rsidRPr="004C545C">
        <w:rPr>
          <w:sz w:val="24"/>
          <w:szCs w:val="24"/>
        </w:rPr>
        <w:t xml:space="preserve">5,00 </w:t>
      </w:r>
      <w:r w:rsidRPr="004C545C">
        <w:rPr>
          <w:sz w:val="24"/>
          <w:szCs w:val="24"/>
        </w:rPr>
        <w:t xml:space="preserve">zł, świadczenia społeczne wypłacane obywatelom Ukrainy przebywającym na terytorium RP </w:t>
      </w:r>
      <w:r w:rsidR="0034264F" w:rsidRPr="004C545C">
        <w:rPr>
          <w:sz w:val="24"/>
          <w:szCs w:val="24"/>
        </w:rPr>
        <w:t xml:space="preserve"> 7</w:t>
      </w:r>
      <w:r w:rsidR="004C545C">
        <w:rPr>
          <w:sz w:val="24"/>
          <w:szCs w:val="24"/>
        </w:rPr>
        <w:t>.</w:t>
      </w:r>
      <w:r w:rsidR="0034264F" w:rsidRPr="004C545C">
        <w:rPr>
          <w:sz w:val="24"/>
          <w:szCs w:val="24"/>
        </w:rPr>
        <w:t>983,04</w:t>
      </w:r>
      <w:r w:rsidRPr="004C545C">
        <w:rPr>
          <w:sz w:val="24"/>
          <w:szCs w:val="24"/>
        </w:rPr>
        <w:t xml:space="preserve"> zł;</w:t>
      </w:r>
    </w:p>
    <w:p w14:paraId="4B739261" w14:textId="5C7506D9" w:rsidR="00EC5B8E" w:rsidRPr="004C545C" w:rsidRDefault="00000000" w:rsidP="00E95AB0">
      <w:pPr>
        <w:pStyle w:val="Akapitzlist"/>
        <w:numPr>
          <w:ilvl w:val="1"/>
          <w:numId w:val="35"/>
        </w:numPr>
        <w:ind w:left="993"/>
        <w:jc w:val="both"/>
        <w:rPr>
          <w:sz w:val="24"/>
          <w:szCs w:val="24"/>
        </w:rPr>
      </w:pPr>
      <w:r w:rsidRPr="004C545C">
        <w:rPr>
          <w:color w:val="auto"/>
          <w:sz w:val="24"/>
          <w:szCs w:val="24"/>
        </w:rPr>
        <w:t xml:space="preserve">dotacje – </w:t>
      </w:r>
      <w:r w:rsidR="00894D4C" w:rsidRPr="004C545C">
        <w:rPr>
          <w:color w:val="auto"/>
          <w:sz w:val="24"/>
          <w:szCs w:val="24"/>
        </w:rPr>
        <w:t>602</w:t>
      </w:r>
      <w:r w:rsidR="004C545C">
        <w:rPr>
          <w:color w:val="auto"/>
          <w:sz w:val="24"/>
          <w:szCs w:val="24"/>
        </w:rPr>
        <w:t>.</w:t>
      </w:r>
      <w:r w:rsidR="00894D4C" w:rsidRPr="004C545C">
        <w:rPr>
          <w:color w:val="auto"/>
          <w:sz w:val="24"/>
          <w:szCs w:val="24"/>
        </w:rPr>
        <w:t>418,30</w:t>
      </w:r>
      <w:r w:rsidRPr="004C545C">
        <w:rPr>
          <w:color w:val="auto"/>
          <w:sz w:val="24"/>
          <w:szCs w:val="24"/>
        </w:rPr>
        <w:t xml:space="preserve"> </w:t>
      </w:r>
      <w:r w:rsidRPr="004C545C">
        <w:rPr>
          <w:sz w:val="24"/>
          <w:szCs w:val="24"/>
        </w:rPr>
        <w:t>zł, tj.</w:t>
      </w:r>
      <w:r w:rsidR="00894D4C" w:rsidRPr="004C545C">
        <w:rPr>
          <w:sz w:val="24"/>
          <w:szCs w:val="24"/>
        </w:rPr>
        <w:t>48,</w:t>
      </w:r>
      <w:r w:rsidR="00052CE8" w:rsidRPr="004C545C">
        <w:rPr>
          <w:sz w:val="24"/>
          <w:szCs w:val="24"/>
        </w:rPr>
        <w:t>3</w:t>
      </w:r>
      <w:r w:rsidR="00894D4C" w:rsidRPr="004C545C">
        <w:rPr>
          <w:sz w:val="24"/>
          <w:szCs w:val="24"/>
        </w:rPr>
        <w:t>1</w:t>
      </w:r>
      <w:r w:rsidRPr="004C545C">
        <w:rPr>
          <w:sz w:val="24"/>
          <w:szCs w:val="24"/>
        </w:rPr>
        <w:t>% planu wynoszącego 1</w:t>
      </w:r>
      <w:r w:rsidR="004C545C">
        <w:rPr>
          <w:sz w:val="24"/>
          <w:szCs w:val="24"/>
        </w:rPr>
        <w:t>.</w:t>
      </w:r>
      <w:r w:rsidR="00E125B9" w:rsidRPr="004C545C">
        <w:rPr>
          <w:sz w:val="24"/>
          <w:szCs w:val="24"/>
        </w:rPr>
        <w:t>247</w:t>
      </w:r>
      <w:r w:rsidR="004C545C">
        <w:rPr>
          <w:sz w:val="24"/>
          <w:szCs w:val="24"/>
        </w:rPr>
        <w:t>.</w:t>
      </w:r>
      <w:r w:rsidR="00E125B9" w:rsidRPr="004C545C">
        <w:rPr>
          <w:sz w:val="24"/>
          <w:szCs w:val="24"/>
        </w:rPr>
        <w:t>176</w:t>
      </w:r>
      <w:r w:rsidRPr="004C545C">
        <w:rPr>
          <w:sz w:val="24"/>
          <w:szCs w:val="24"/>
        </w:rPr>
        <w:t>,</w:t>
      </w:r>
      <w:r w:rsidR="00E125B9" w:rsidRPr="004C545C">
        <w:rPr>
          <w:sz w:val="24"/>
          <w:szCs w:val="24"/>
        </w:rPr>
        <w:t>00</w:t>
      </w:r>
      <w:r w:rsidRPr="004C545C">
        <w:rPr>
          <w:sz w:val="24"/>
          <w:szCs w:val="24"/>
        </w:rPr>
        <w:t xml:space="preserve"> zł,</w:t>
      </w:r>
    </w:p>
    <w:p w14:paraId="2BC35EFE" w14:textId="3F3EAC29" w:rsidR="00EC5B8E" w:rsidRPr="004C545C" w:rsidRDefault="00000000" w:rsidP="00E95AB0">
      <w:pPr>
        <w:pStyle w:val="Akapitzlist"/>
        <w:numPr>
          <w:ilvl w:val="1"/>
          <w:numId w:val="35"/>
        </w:numPr>
        <w:ind w:left="993"/>
        <w:jc w:val="both"/>
        <w:rPr>
          <w:sz w:val="24"/>
          <w:szCs w:val="24"/>
        </w:rPr>
      </w:pPr>
      <w:r w:rsidRPr="004C545C">
        <w:rPr>
          <w:sz w:val="24"/>
          <w:szCs w:val="24"/>
        </w:rPr>
        <w:t xml:space="preserve">wydatki na programy finansowane z udziałem środków, o których mowa w art. 5 ust. 1 pkt 2, 3 – </w:t>
      </w:r>
      <w:r w:rsidR="00052CE8" w:rsidRPr="004C545C">
        <w:rPr>
          <w:sz w:val="24"/>
          <w:szCs w:val="24"/>
        </w:rPr>
        <w:t xml:space="preserve"> </w:t>
      </w:r>
      <w:r w:rsidR="00AB35AC" w:rsidRPr="004C545C">
        <w:rPr>
          <w:sz w:val="24"/>
          <w:szCs w:val="24"/>
        </w:rPr>
        <w:t>118 499,68 zł</w:t>
      </w:r>
      <w:r w:rsidRPr="004C545C">
        <w:rPr>
          <w:sz w:val="24"/>
          <w:szCs w:val="24"/>
        </w:rPr>
        <w:t xml:space="preserve">, tj. </w:t>
      </w:r>
      <w:r w:rsidR="00AB35AC" w:rsidRPr="004C545C">
        <w:rPr>
          <w:sz w:val="24"/>
          <w:szCs w:val="24"/>
        </w:rPr>
        <w:t>100,00</w:t>
      </w:r>
      <w:r w:rsidRPr="004C545C">
        <w:rPr>
          <w:sz w:val="24"/>
          <w:szCs w:val="24"/>
        </w:rPr>
        <w:t>% planu,</w:t>
      </w:r>
      <w:r w:rsidR="00052CE8" w:rsidRPr="004C545C">
        <w:rPr>
          <w:sz w:val="24"/>
          <w:szCs w:val="24"/>
        </w:rPr>
        <w:t xml:space="preserve">   </w:t>
      </w:r>
      <w:r w:rsidR="00052CE8" w:rsidRPr="004C545C">
        <w:rPr>
          <w:sz w:val="24"/>
          <w:szCs w:val="24"/>
        </w:rPr>
        <w:tab/>
      </w:r>
    </w:p>
    <w:p w14:paraId="44033222" w14:textId="2133AD5C" w:rsidR="00EC5B8E" w:rsidRPr="004C545C" w:rsidRDefault="00000000" w:rsidP="003C1C87">
      <w:pPr>
        <w:pStyle w:val="Akapitzlist"/>
        <w:numPr>
          <w:ilvl w:val="1"/>
          <w:numId w:val="35"/>
        </w:numPr>
        <w:ind w:left="993"/>
        <w:jc w:val="both"/>
        <w:rPr>
          <w:sz w:val="24"/>
          <w:szCs w:val="24"/>
        </w:rPr>
      </w:pPr>
      <w:r w:rsidRPr="004C545C">
        <w:rPr>
          <w:sz w:val="24"/>
          <w:szCs w:val="24"/>
        </w:rPr>
        <w:t>pozostałe wydatki bieżące –</w:t>
      </w:r>
      <w:r w:rsidR="00AB35AC" w:rsidRPr="004C545C">
        <w:rPr>
          <w:sz w:val="24"/>
          <w:szCs w:val="24"/>
        </w:rPr>
        <w:t xml:space="preserve"> 3</w:t>
      </w:r>
      <w:r w:rsidR="004C545C">
        <w:rPr>
          <w:sz w:val="24"/>
          <w:szCs w:val="24"/>
        </w:rPr>
        <w:t>.</w:t>
      </w:r>
      <w:r w:rsidR="00AB35AC" w:rsidRPr="004C545C">
        <w:rPr>
          <w:sz w:val="24"/>
          <w:szCs w:val="24"/>
        </w:rPr>
        <w:t>789</w:t>
      </w:r>
      <w:r w:rsidR="004C545C">
        <w:rPr>
          <w:sz w:val="24"/>
          <w:szCs w:val="24"/>
        </w:rPr>
        <w:t>.</w:t>
      </w:r>
      <w:r w:rsidR="00AB35AC" w:rsidRPr="004C545C">
        <w:rPr>
          <w:sz w:val="24"/>
          <w:szCs w:val="24"/>
        </w:rPr>
        <w:t>900,03</w:t>
      </w:r>
      <w:r w:rsidRPr="004C545C">
        <w:rPr>
          <w:color w:val="FF0000"/>
          <w:sz w:val="24"/>
          <w:szCs w:val="24"/>
        </w:rPr>
        <w:t xml:space="preserve"> </w:t>
      </w:r>
      <w:r w:rsidRPr="004C545C">
        <w:rPr>
          <w:sz w:val="24"/>
          <w:szCs w:val="24"/>
        </w:rPr>
        <w:t xml:space="preserve">zł, tj. </w:t>
      </w:r>
      <w:r w:rsidR="006762A1" w:rsidRPr="004C545C">
        <w:rPr>
          <w:sz w:val="24"/>
          <w:szCs w:val="24"/>
        </w:rPr>
        <w:t>48,10</w:t>
      </w:r>
      <w:r w:rsidRPr="004C545C">
        <w:rPr>
          <w:sz w:val="24"/>
          <w:szCs w:val="24"/>
        </w:rPr>
        <w:t xml:space="preserve">% planu wynoszącego </w:t>
      </w:r>
      <w:r w:rsidR="00E125B9" w:rsidRPr="004C545C">
        <w:rPr>
          <w:sz w:val="24"/>
          <w:szCs w:val="24"/>
        </w:rPr>
        <w:t>7</w:t>
      </w:r>
      <w:r w:rsidR="004C545C">
        <w:rPr>
          <w:sz w:val="24"/>
          <w:szCs w:val="24"/>
        </w:rPr>
        <w:t>.</w:t>
      </w:r>
      <w:r w:rsidR="00E125B9" w:rsidRPr="004C545C">
        <w:rPr>
          <w:sz w:val="24"/>
          <w:szCs w:val="24"/>
        </w:rPr>
        <w:t>880</w:t>
      </w:r>
      <w:r w:rsidR="004C545C">
        <w:rPr>
          <w:sz w:val="24"/>
          <w:szCs w:val="24"/>
        </w:rPr>
        <w:t>.</w:t>
      </w:r>
      <w:r w:rsidR="00E125B9" w:rsidRPr="004C545C">
        <w:rPr>
          <w:sz w:val="24"/>
          <w:szCs w:val="24"/>
        </w:rPr>
        <w:t>662,23</w:t>
      </w:r>
      <w:r w:rsidRPr="004C545C">
        <w:rPr>
          <w:sz w:val="24"/>
          <w:szCs w:val="24"/>
        </w:rPr>
        <w:t xml:space="preserve"> zł, z tego: </w:t>
      </w:r>
      <w:r w:rsidR="004E1732" w:rsidRPr="004C545C">
        <w:rPr>
          <w:sz w:val="24"/>
          <w:szCs w:val="24"/>
        </w:rPr>
        <w:t>wpłaty gmin na rzecz izb rolniczych w wysokości 2% uzyskanych wpływów z podatku rolnego 9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>841,43 zł, zwrot niewykorzystanych dotacji oraz płatności 145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>626,16 zł, składki na ubezpieczenie zdrowotne opłacane za osoby pobierające niektóre świadczenia z pomocy społecznej 31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 xml:space="preserve">989,17 zł, </w:t>
      </w:r>
      <w:r w:rsidRPr="004C545C">
        <w:rPr>
          <w:sz w:val="24"/>
          <w:szCs w:val="24"/>
        </w:rPr>
        <w:t>zakup materiałów i wyposażenia</w:t>
      </w:r>
      <w:r w:rsidR="004C545C">
        <w:rPr>
          <w:sz w:val="24"/>
          <w:szCs w:val="24"/>
        </w:rPr>
        <w:t xml:space="preserve"> </w:t>
      </w:r>
      <w:r w:rsidR="004E1732" w:rsidRPr="004C545C">
        <w:rPr>
          <w:sz w:val="24"/>
          <w:szCs w:val="24"/>
        </w:rPr>
        <w:t>370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 xml:space="preserve">641,56 </w:t>
      </w:r>
      <w:r w:rsidRPr="004C545C">
        <w:rPr>
          <w:sz w:val="24"/>
          <w:szCs w:val="24"/>
        </w:rPr>
        <w:t xml:space="preserve">zł, </w:t>
      </w:r>
      <w:r w:rsidR="004E1732" w:rsidRPr="004C545C">
        <w:rPr>
          <w:sz w:val="24"/>
          <w:szCs w:val="24"/>
        </w:rPr>
        <w:t>zakup środków żywności 11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>359,68 zł, zakup środków dydaktycznych i książek 2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>893,37 zł, zakup energii 587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>081,57 zł, zakup usług remontowych 23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 xml:space="preserve">624,14 zł, </w:t>
      </w:r>
      <w:r w:rsidR="00CE734D" w:rsidRPr="004C545C">
        <w:rPr>
          <w:sz w:val="24"/>
          <w:szCs w:val="24"/>
        </w:rPr>
        <w:t>z</w:t>
      </w:r>
      <w:r w:rsidR="004E1732" w:rsidRPr="004C545C">
        <w:rPr>
          <w:sz w:val="24"/>
          <w:szCs w:val="24"/>
        </w:rPr>
        <w:t>akup usług zdrowotnych 11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>020,00zł, zakup usług pozostałych 1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>573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>695,28 zł, zakup usług przez jednostki samorządu terytorialnego od innych jednostek samorządu terytorialnego 321</w:t>
      </w:r>
      <w:r w:rsidR="004C545C">
        <w:rPr>
          <w:sz w:val="24"/>
          <w:szCs w:val="24"/>
        </w:rPr>
        <w:t>.</w:t>
      </w:r>
      <w:r w:rsidR="004E1732" w:rsidRPr="004C545C">
        <w:rPr>
          <w:sz w:val="24"/>
          <w:szCs w:val="24"/>
        </w:rPr>
        <w:t>751,44</w:t>
      </w:r>
      <w:r w:rsidR="00183760" w:rsidRPr="004C545C">
        <w:rPr>
          <w:sz w:val="24"/>
          <w:szCs w:val="24"/>
        </w:rPr>
        <w:t xml:space="preserve"> </w:t>
      </w:r>
      <w:r w:rsidR="004E1732" w:rsidRPr="004C545C">
        <w:rPr>
          <w:sz w:val="24"/>
          <w:szCs w:val="24"/>
        </w:rPr>
        <w:t xml:space="preserve">zł (m.in. domy pomocy społecznej), </w:t>
      </w:r>
      <w:r w:rsidR="00183760" w:rsidRPr="004C545C">
        <w:rPr>
          <w:sz w:val="24"/>
          <w:szCs w:val="24"/>
        </w:rPr>
        <w:t xml:space="preserve">zakup towarów (w szczególności materiałów, leków, żywności) w związku z pomocą obywatelom Ukrainy 161,10 </w:t>
      </w:r>
      <w:r w:rsidR="004E1732" w:rsidRPr="004C545C">
        <w:rPr>
          <w:sz w:val="24"/>
          <w:szCs w:val="24"/>
        </w:rPr>
        <w:t>zł</w:t>
      </w:r>
      <w:r w:rsidR="00183760" w:rsidRPr="004C545C">
        <w:rPr>
          <w:sz w:val="24"/>
          <w:szCs w:val="24"/>
        </w:rPr>
        <w:t>, opłaty z tytułu zakupu usług telekomunikacyjnych  15</w:t>
      </w:r>
      <w:r w:rsidR="004C545C">
        <w:rPr>
          <w:sz w:val="24"/>
          <w:szCs w:val="24"/>
        </w:rPr>
        <w:t>.</w:t>
      </w:r>
      <w:r w:rsidR="00183760" w:rsidRPr="004C545C">
        <w:rPr>
          <w:sz w:val="24"/>
          <w:szCs w:val="24"/>
        </w:rPr>
        <w:t>415,89 zł, zakup usług związanych z pomocą obywatelom Ukrainy 4</w:t>
      </w:r>
      <w:r w:rsidR="004C545C">
        <w:rPr>
          <w:sz w:val="24"/>
          <w:szCs w:val="24"/>
        </w:rPr>
        <w:t>.</w:t>
      </w:r>
      <w:r w:rsidR="00183760" w:rsidRPr="004C545C">
        <w:rPr>
          <w:sz w:val="24"/>
          <w:szCs w:val="24"/>
        </w:rPr>
        <w:t>222,50 zł, zakup usług obejmujących wykonanie ekspertyz, analiz i opinii</w:t>
      </w:r>
      <w:r w:rsidR="004C545C">
        <w:rPr>
          <w:sz w:val="24"/>
          <w:szCs w:val="24"/>
        </w:rPr>
        <w:t xml:space="preserve"> </w:t>
      </w:r>
      <w:r w:rsidR="00183760" w:rsidRPr="004C545C">
        <w:rPr>
          <w:sz w:val="24"/>
          <w:szCs w:val="24"/>
        </w:rPr>
        <w:t>11</w:t>
      </w:r>
      <w:r w:rsidR="004C545C">
        <w:rPr>
          <w:sz w:val="24"/>
          <w:szCs w:val="24"/>
        </w:rPr>
        <w:t>.</w:t>
      </w:r>
      <w:r w:rsidR="00183760" w:rsidRPr="004C545C">
        <w:rPr>
          <w:sz w:val="24"/>
          <w:szCs w:val="24"/>
        </w:rPr>
        <w:t>169,63 zł, podróże służbowe krajowe 9</w:t>
      </w:r>
      <w:r w:rsidR="004C545C">
        <w:rPr>
          <w:sz w:val="24"/>
          <w:szCs w:val="24"/>
        </w:rPr>
        <w:t>.</w:t>
      </w:r>
      <w:r w:rsidR="00183760" w:rsidRPr="004C545C">
        <w:rPr>
          <w:sz w:val="24"/>
          <w:szCs w:val="24"/>
        </w:rPr>
        <w:t xml:space="preserve">641,85 zł, </w:t>
      </w:r>
      <w:r w:rsidRPr="004C545C">
        <w:rPr>
          <w:sz w:val="24"/>
          <w:szCs w:val="24"/>
        </w:rPr>
        <w:t xml:space="preserve">różne opłaty i składki </w:t>
      </w:r>
      <w:r w:rsidR="00183760" w:rsidRPr="004C545C">
        <w:rPr>
          <w:sz w:val="24"/>
          <w:szCs w:val="24"/>
        </w:rPr>
        <w:t>418</w:t>
      </w:r>
      <w:r w:rsidR="004C545C">
        <w:rPr>
          <w:sz w:val="24"/>
          <w:szCs w:val="24"/>
        </w:rPr>
        <w:t>.</w:t>
      </w:r>
      <w:r w:rsidR="00183760" w:rsidRPr="004C545C">
        <w:rPr>
          <w:sz w:val="24"/>
          <w:szCs w:val="24"/>
        </w:rPr>
        <w:t xml:space="preserve">508,36 </w:t>
      </w:r>
      <w:r w:rsidRPr="004C545C">
        <w:rPr>
          <w:sz w:val="24"/>
          <w:szCs w:val="24"/>
        </w:rPr>
        <w:t xml:space="preserve">zł, odpisy </w:t>
      </w:r>
      <w:r w:rsidR="004C545C">
        <w:rPr>
          <w:sz w:val="24"/>
          <w:szCs w:val="24"/>
        </w:rPr>
        <w:t xml:space="preserve">                                </w:t>
      </w:r>
      <w:r w:rsidRPr="004C545C">
        <w:rPr>
          <w:sz w:val="24"/>
          <w:szCs w:val="24"/>
        </w:rPr>
        <w:t>na zakładowy fundusz świadczeń socjalnych</w:t>
      </w:r>
      <w:r w:rsidR="00865E9B" w:rsidRPr="004C545C">
        <w:rPr>
          <w:sz w:val="24"/>
          <w:szCs w:val="24"/>
        </w:rPr>
        <w:t xml:space="preserve">  </w:t>
      </w:r>
      <w:r w:rsidR="00183760" w:rsidRPr="004C545C">
        <w:rPr>
          <w:sz w:val="24"/>
          <w:szCs w:val="24"/>
        </w:rPr>
        <w:t>202</w:t>
      </w:r>
      <w:r w:rsidR="004C545C">
        <w:rPr>
          <w:sz w:val="24"/>
          <w:szCs w:val="24"/>
        </w:rPr>
        <w:t>.</w:t>
      </w:r>
      <w:r w:rsidR="00183760" w:rsidRPr="004C545C">
        <w:rPr>
          <w:sz w:val="24"/>
          <w:szCs w:val="24"/>
        </w:rPr>
        <w:t xml:space="preserve">150,96 </w:t>
      </w:r>
      <w:r w:rsidRPr="004C545C">
        <w:rPr>
          <w:sz w:val="24"/>
          <w:szCs w:val="24"/>
        </w:rPr>
        <w:t>zł,</w:t>
      </w:r>
      <w:r w:rsidR="00183760" w:rsidRPr="004C545C">
        <w:rPr>
          <w:sz w:val="24"/>
          <w:szCs w:val="24"/>
        </w:rPr>
        <w:t xml:space="preserve"> opłaty na rzecz budżetów jednostek samorządu terytorialnego 4</w:t>
      </w:r>
      <w:r w:rsidR="004C545C">
        <w:rPr>
          <w:sz w:val="24"/>
          <w:szCs w:val="24"/>
        </w:rPr>
        <w:t>.</w:t>
      </w:r>
      <w:r w:rsidR="00183760" w:rsidRPr="004C545C">
        <w:rPr>
          <w:sz w:val="24"/>
          <w:szCs w:val="24"/>
        </w:rPr>
        <w:t>656,46 zł</w:t>
      </w:r>
      <w:r w:rsidRPr="004C545C">
        <w:rPr>
          <w:sz w:val="24"/>
          <w:szCs w:val="24"/>
        </w:rPr>
        <w:t>, podatek od towarów</w:t>
      </w:r>
      <w:r w:rsidR="00220B79" w:rsidRPr="004C545C">
        <w:rPr>
          <w:sz w:val="24"/>
          <w:szCs w:val="24"/>
        </w:rPr>
        <w:t xml:space="preserve"> </w:t>
      </w:r>
      <w:r w:rsidRPr="004C545C">
        <w:rPr>
          <w:sz w:val="24"/>
          <w:szCs w:val="24"/>
        </w:rPr>
        <w:t>i usług (VAT)</w:t>
      </w:r>
      <w:r w:rsidR="00865E9B" w:rsidRPr="004C545C">
        <w:rPr>
          <w:sz w:val="24"/>
          <w:szCs w:val="24"/>
        </w:rPr>
        <w:t xml:space="preserve"> </w:t>
      </w:r>
      <w:r w:rsidR="00183760" w:rsidRPr="004C545C">
        <w:rPr>
          <w:sz w:val="24"/>
          <w:szCs w:val="24"/>
        </w:rPr>
        <w:t>19</w:t>
      </w:r>
      <w:r w:rsidR="004C545C">
        <w:rPr>
          <w:sz w:val="24"/>
          <w:szCs w:val="24"/>
        </w:rPr>
        <w:t>.</w:t>
      </w:r>
      <w:r w:rsidR="00183760" w:rsidRPr="004C545C">
        <w:rPr>
          <w:sz w:val="24"/>
          <w:szCs w:val="24"/>
        </w:rPr>
        <w:t xml:space="preserve">798,78 </w:t>
      </w:r>
      <w:r w:rsidRPr="004C545C">
        <w:rPr>
          <w:sz w:val="24"/>
          <w:szCs w:val="24"/>
        </w:rPr>
        <w:t xml:space="preserve">zł, </w:t>
      </w:r>
      <w:r w:rsidR="00183760" w:rsidRPr="004C545C">
        <w:rPr>
          <w:sz w:val="24"/>
          <w:szCs w:val="24"/>
        </w:rPr>
        <w:t>pozostałe odsetki (od zwróconych świadczeń wychowawczych i rodzinnych ) 1</w:t>
      </w:r>
      <w:r w:rsidR="004C545C">
        <w:rPr>
          <w:sz w:val="24"/>
          <w:szCs w:val="24"/>
        </w:rPr>
        <w:t>.</w:t>
      </w:r>
      <w:r w:rsidR="00183760" w:rsidRPr="004C545C">
        <w:rPr>
          <w:sz w:val="24"/>
          <w:szCs w:val="24"/>
        </w:rPr>
        <w:t xml:space="preserve">998,22 zł, </w:t>
      </w:r>
      <w:r w:rsidR="006762A1" w:rsidRPr="004C545C">
        <w:rPr>
          <w:sz w:val="24"/>
          <w:szCs w:val="24"/>
        </w:rPr>
        <w:t>koszty postępowania sądowego i prokuratorskiego 9,20 zł, szkolenia pracowników 9</w:t>
      </w:r>
      <w:r w:rsidR="004C545C">
        <w:rPr>
          <w:sz w:val="24"/>
          <w:szCs w:val="24"/>
        </w:rPr>
        <w:t>.</w:t>
      </w:r>
      <w:r w:rsidR="006762A1" w:rsidRPr="004C545C">
        <w:rPr>
          <w:sz w:val="24"/>
          <w:szCs w:val="24"/>
        </w:rPr>
        <w:t xml:space="preserve">648,55 zł, </w:t>
      </w:r>
      <w:r w:rsidRPr="004C545C">
        <w:rPr>
          <w:sz w:val="24"/>
          <w:szCs w:val="24"/>
        </w:rPr>
        <w:t xml:space="preserve">pozostałe wydatki bieżące na zadania związane z pomocą obywatelom Ukrainy </w:t>
      </w:r>
      <w:r w:rsidR="006762A1" w:rsidRPr="004C545C">
        <w:rPr>
          <w:sz w:val="24"/>
          <w:szCs w:val="24"/>
        </w:rPr>
        <w:t>2</w:t>
      </w:r>
      <w:r w:rsidR="004C545C">
        <w:rPr>
          <w:sz w:val="24"/>
          <w:szCs w:val="24"/>
        </w:rPr>
        <w:t>.</w:t>
      </w:r>
      <w:r w:rsidR="006762A1" w:rsidRPr="004C545C">
        <w:rPr>
          <w:sz w:val="24"/>
          <w:szCs w:val="24"/>
        </w:rPr>
        <w:t xml:space="preserve">994,73 </w:t>
      </w:r>
      <w:r w:rsidRPr="004C545C">
        <w:rPr>
          <w:sz w:val="24"/>
          <w:szCs w:val="24"/>
        </w:rPr>
        <w:t xml:space="preserve">zł,  </w:t>
      </w:r>
    </w:p>
    <w:p w14:paraId="49A716DF" w14:textId="3817F81C" w:rsidR="00EC5B8E" w:rsidRPr="004C545C" w:rsidRDefault="00000000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4C545C">
        <w:rPr>
          <w:sz w:val="24"/>
          <w:szCs w:val="24"/>
        </w:rPr>
        <w:t xml:space="preserve">wydatki majątkowe zostały wykonane </w:t>
      </w:r>
      <w:r w:rsidR="00865E9B" w:rsidRPr="004C545C">
        <w:rPr>
          <w:sz w:val="24"/>
          <w:szCs w:val="24"/>
        </w:rPr>
        <w:t xml:space="preserve">w kwocie </w:t>
      </w:r>
      <w:r w:rsidRPr="004C545C">
        <w:rPr>
          <w:sz w:val="24"/>
          <w:szCs w:val="24"/>
        </w:rPr>
        <w:t xml:space="preserve"> </w:t>
      </w:r>
      <w:r w:rsidR="00865E9B" w:rsidRPr="004C545C">
        <w:rPr>
          <w:sz w:val="24"/>
          <w:szCs w:val="24"/>
        </w:rPr>
        <w:t>1</w:t>
      </w:r>
      <w:r w:rsidR="004C545C">
        <w:rPr>
          <w:sz w:val="24"/>
          <w:szCs w:val="24"/>
        </w:rPr>
        <w:t>.</w:t>
      </w:r>
      <w:r w:rsidR="00865E9B" w:rsidRPr="004C545C">
        <w:rPr>
          <w:sz w:val="24"/>
          <w:szCs w:val="24"/>
        </w:rPr>
        <w:t>181</w:t>
      </w:r>
      <w:r w:rsidR="004C545C">
        <w:rPr>
          <w:sz w:val="24"/>
          <w:szCs w:val="24"/>
        </w:rPr>
        <w:t>.</w:t>
      </w:r>
      <w:r w:rsidR="00865E9B" w:rsidRPr="004C545C">
        <w:rPr>
          <w:sz w:val="24"/>
          <w:szCs w:val="24"/>
        </w:rPr>
        <w:t xml:space="preserve">798,93 </w:t>
      </w:r>
      <w:r w:rsidRPr="004C545C">
        <w:rPr>
          <w:sz w:val="24"/>
          <w:szCs w:val="24"/>
        </w:rPr>
        <w:t xml:space="preserve">zł, tj. w </w:t>
      </w:r>
      <w:r w:rsidR="00865E9B" w:rsidRPr="004C545C">
        <w:rPr>
          <w:sz w:val="24"/>
          <w:szCs w:val="24"/>
        </w:rPr>
        <w:t xml:space="preserve"> 29,65</w:t>
      </w:r>
      <w:r w:rsidRPr="004C545C">
        <w:rPr>
          <w:sz w:val="24"/>
          <w:szCs w:val="24"/>
        </w:rPr>
        <w:t>% w stosunku</w:t>
      </w:r>
      <w:r w:rsidR="004C545C">
        <w:rPr>
          <w:sz w:val="24"/>
          <w:szCs w:val="24"/>
        </w:rPr>
        <w:t xml:space="preserve">                         </w:t>
      </w:r>
      <w:r w:rsidRPr="004C545C">
        <w:rPr>
          <w:sz w:val="24"/>
          <w:szCs w:val="24"/>
        </w:rPr>
        <w:t xml:space="preserve"> do planu po zmianach wynoszącego </w:t>
      </w:r>
      <w:r w:rsidR="00865E9B" w:rsidRPr="004C545C">
        <w:rPr>
          <w:sz w:val="24"/>
          <w:szCs w:val="24"/>
        </w:rPr>
        <w:t>3</w:t>
      </w:r>
      <w:r w:rsidR="004C545C">
        <w:rPr>
          <w:sz w:val="24"/>
          <w:szCs w:val="24"/>
        </w:rPr>
        <w:t>.</w:t>
      </w:r>
      <w:r w:rsidR="00865E9B" w:rsidRPr="004C545C">
        <w:rPr>
          <w:sz w:val="24"/>
          <w:szCs w:val="24"/>
        </w:rPr>
        <w:t>985</w:t>
      </w:r>
      <w:r w:rsidR="004C545C">
        <w:rPr>
          <w:sz w:val="24"/>
          <w:szCs w:val="24"/>
        </w:rPr>
        <w:t>.</w:t>
      </w:r>
      <w:r w:rsidR="00865E9B" w:rsidRPr="004C545C">
        <w:rPr>
          <w:sz w:val="24"/>
          <w:szCs w:val="24"/>
        </w:rPr>
        <w:t xml:space="preserve">548,73 </w:t>
      </w:r>
      <w:r w:rsidRPr="004C545C">
        <w:rPr>
          <w:sz w:val="24"/>
          <w:szCs w:val="24"/>
        </w:rPr>
        <w:t>zł, z tego:</w:t>
      </w:r>
    </w:p>
    <w:p w14:paraId="2A254A1F" w14:textId="6E277080" w:rsidR="00EC5B8E" w:rsidRPr="004C545C" w:rsidRDefault="00000000" w:rsidP="00E95AB0">
      <w:pPr>
        <w:pStyle w:val="Akapitzlist"/>
        <w:numPr>
          <w:ilvl w:val="1"/>
          <w:numId w:val="36"/>
        </w:numPr>
        <w:ind w:left="993"/>
        <w:jc w:val="both"/>
        <w:rPr>
          <w:sz w:val="24"/>
          <w:szCs w:val="24"/>
        </w:rPr>
      </w:pPr>
      <w:r w:rsidRPr="004C545C">
        <w:rPr>
          <w:sz w:val="24"/>
          <w:szCs w:val="24"/>
        </w:rPr>
        <w:lastRenderedPageBreak/>
        <w:t>wydatki inwestycyjne i zakupy inwestycyjne – 1</w:t>
      </w:r>
      <w:r w:rsidR="004C545C">
        <w:rPr>
          <w:sz w:val="24"/>
          <w:szCs w:val="24"/>
        </w:rPr>
        <w:t>.</w:t>
      </w:r>
      <w:r w:rsidR="0098125B" w:rsidRPr="004C545C">
        <w:rPr>
          <w:sz w:val="24"/>
          <w:szCs w:val="24"/>
        </w:rPr>
        <w:t>151</w:t>
      </w:r>
      <w:r w:rsidR="004C545C">
        <w:rPr>
          <w:sz w:val="24"/>
          <w:szCs w:val="24"/>
        </w:rPr>
        <w:t>.</w:t>
      </w:r>
      <w:r w:rsidR="0098125B" w:rsidRPr="004C545C">
        <w:rPr>
          <w:sz w:val="24"/>
          <w:szCs w:val="24"/>
        </w:rPr>
        <w:t>005,37</w:t>
      </w:r>
      <w:r w:rsidRPr="004C545C">
        <w:rPr>
          <w:sz w:val="24"/>
          <w:szCs w:val="24"/>
        </w:rPr>
        <w:t xml:space="preserve"> zł, tj. </w:t>
      </w:r>
      <w:r w:rsidR="0098125B" w:rsidRPr="004C545C">
        <w:rPr>
          <w:sz w:val="24"/>
          <w:szCs w:val="24"/>
        </w:rPr>
        <w:t>31,59</w:t>
      </w:r>
      <w:r w:rsidRPr="004C545C">
        <w:rPr>
          <w:sz w:val="24"/>
          <w:szCs w:val="24"/>
        </w:rPr>
        <w:t xml:space="preserve">% planu wynoszącego </w:t>
      </w:r>
      <w:r w:rsidR="0098125B" w:rsidRPr="004C545C">
        <w:rPr>
          <w:sz w:val="24"/>
          <w:szCs w:val="24"/>
        </w:rPr>
        <w:t>3</w:t>
      </w:r>
      <w:r w:rsidR="004C545C">
        <w:rPr>
          <w:sz w:val="24"/>
          <w:szCs w:val="24"/>
        </w:rPr>
        <w:t>.</w:t>
      </w:r>
      <w:r w:rsidR="0098125B" w:rsidRPr="004C545C">
        <w:rPr>
          <w:sz w:val="24"/>
          <w:szCs w:val="24"/>
        </w:rPr>
        <w:t>644</w:t>
      </w:r>
      <w:r w:rsidR="004C545C">
        <w:rPr>
          <w:sz w:val="24"/>
          <w:szCs w:val="24"/>
        </w:rPr>
        <w:t>.</w:t>
      </w:r>
      <w:r w:rsidR="0098125B" w:rsidRPr="004C545C">
        <w:rPr>
          <w:sz w:val="24"/>
          <w:szCs w:val="24"/>
        </w:rPr>
        <w:t xml:space="preserve">418,73 </w:t>
      </w:r>
      <w:r w:rsidRPr="004C545C">
        <w:rPr>
          <w:sz w:val="24"/>
          <w:szCs w:val="24"/>
        </w:rPr>
        <w:t>zł,</w:t>
      </w:r>
    </w:p>
    <w:p w14:paraId="73994A52" w14:textId="0F2C4D12" w:rsidR="00EC5B8E" w:rsidRPr="004C545C" w:rsidRDefault="0098125B" w:rsidP="00E95AB0">
      <w:pPr>
        <w:pStyle w:val="Akapitzlist"/>
        <w:numPr>
          <w:ilvl w:val="1"/>
          <w:numId w:val="36"/>
        </w:numPr>
        <w:ind w:left="993"/>
        <w:jc w:val="both"/>
        <w:rPr>
          <w:sz w:val="24"/>
          <w:szCs w:val="24"/>
        </w:rPr>
      </w:pPr>
      <w:r w:rsidRPr="004C545C">
        <w:rPr>
          <w:sz w:val="24"/>
          <w:szCs w:val="24"/>
        </w:rPr>
        <w:t xml:space="preserve">wydatki o charakterze dotacyjnym na inwestycje i zakupy inwestycyjne – </w:t>
      </w:r>
      <w:r w:rsidR="00865E9B" w:rsidRPr="004C545C">
        <w:rPr>
          <w:sz w:val="24"/>
          <w:szCs w:val="24"/>
        </w:rPr>
        <w:t xml:space="preserve"> 30</w:t>
      </w:r>
      <w:r w:rsidR="004C545C">
        <w:rPr>
          <w:sz w:val="24"/>
          <w:szCs w:val="24"/>
        </w:rPr>
        <w:t>.</w:t>
      </w:r>
      <w:r w:rsidR="00865E9B" w:rsidRPr="004C545C">
        <w:rPr>
          <w:sz w:val="24"/>
          <w:szCs w:val="24"/>
        </w:rPr>
        <w:t xml:space="preserve">793,56 </w:t>
      </w:r>
      <w:r w:rsidRPr="004C545C">
        <w:rPr>
          <w:sz w:val="24"/>
          <w:szCs w:val="24"/>
        </w:rPr>
        <w:t xml:space="preserve">zł, </w:t>
      </w:r>
      <w:r w:rsidR="004C545C">
        <w:rPr>
          <w:sz w:val="24"/>
          <w:szCs w:val="24"/>
        </w:rPr>
        <w:t xml:space="preserve">                       </w:t>
      </w:r>
      <w:r w:rsidRPr="004C545C">
        <w:rPr>
          <w:sz w:val="24"/>
          <w:szCs w:val="24"/>
        </w:rPr>
        <w:t>tj.</w:t>
      </w:r>
      <w:r w:rsidR="004C545C">
        <w:rPr>
          <w:sz w:val="24"/>
          <w:szCs w:val="24"/>
        </w:rPr>
        <w:t xml:space="preserve"> </w:t>
      </w:r>
      <w:r w:rsidR="00865E9B" w:rsidRPr="004C545C">
        <w:rPr>
          <w:sz w:val="24"/>
          <w:szCs w:val="24"/>
        </w:rPr>
        <w:t>9,03</w:t>
      </w:r>
      <w:r w:rsidRPr="004C545C">
        <w:rPr>
          <w:sz w:val="24"/>
          <w:szCs w:val="24"/>
        </w:rPr>
        <w:t xml:space="preserve">% planu wynoszącego </w:t>
      </w:r>
      <w:r w:rsidR="00865E9B" w:rsidRPr="004C545C">
        <w:rPr>
          <w:sz w:val="24"/>
          <w:szCs w:val="24"/>
        </w:rPr>
        <w:t xml:space="preserve"> 341</w:t>
      </w:r>
      <w:r w:rsidR="00A20C9F">
        <w:rPr>
          <w:sz w:val="24"/>
          <w:szCs w:val="24"/>
        </w:rPr>
        <w:t>.</w:t>
      </w:r>
      <w:r w:rsidR="00865E9B" w:rsidRPr="004C545C">
        <w:rPr>
          <w:sz w:val="24"/>
          <w:szCs w:val="24"/>
        </w:rPr>
        <w:t xml:space="preserve">130,00 </w:t>
      </w:r>
      <w:r w:rsidRPr="004C545C">
        <w:rPr>
          <w:sz w:val="24"/>
          <w:szCs w:val="24"/>
        </w:rPr>
        <w:t xml:space="preserve"> zł.</w:t>
      </w:r>
    </w:p>
    <w:p w14:paraId="5AC51B6E" w14:textId="539FC0B2" w:rsidR="00EC5B8E" w:rsidRPr="004C545C" w:rsidRDefault="00000000">
      <w:pPr>
        <w:pStyle w:val="SmallSubtitle"/>
        <w:rPr>
          <w:sz w:val="24"/>
          <w:szCs w:val="24"/>
        </w:rPr>
      </w:pPr>
      <w:r w:rsidRPr="004C545C">
        <w:rPr>
          <w:sz w:val="24"/>
          <w:szCs w:val="24"/>
        </w:rPr>
        <w:t>Przychody i rozchody</w:t>
      </w:r>
    </w:p>
    <w:p w14:paraId="56BA3DAD" w14:textId="74D9DE27" w:rsidR="00EC5B8E" w:rsidRPr="004C545C" w:rsidRDefault="00000000">
      <w:pPr>
        <w:jc w:val="both"/>
        <w:rPr>
          <w:sz w:val="24"/>
          <w:szCs w:val="24"/>
        </w:rPr>
      </w:pPr>
      <w:r w:rsidRPr="004C545C">
        <w:rPr>
          <w:sz w:val="24"/>
          <w:szCs w:val="24"/>
        </w:rPr>
        <w:t xml:space="preserve">Przychody w pierwszym półroczu 2023 roku zrealizowano w łącznej kwocie </w:t>
      </w:r>
      <w:r w:rsidR="00AB35AC" w:rsidRPr="004C545C">
        <w:rPr>
          <w:sz w:val="24"/>
          <w:szCs w:val="24"/>
        </w:rPr>
        <w:t>7</w:t>
      </w:r>
      <w:r w:rsidR="00A20C9F">
        <w:rPr>
          <w:sz w:val="24"/>
          <w:szCs w:val="24"/>
        </w:rPr>
        <w:t>.</w:t>
      </w:r>
      <w:r w:rsidR="00AB35AC" w:rsidRPr="004C545C">
        <w:rPr>
          <w:sz w:val="24"/>
          <w:szCs w:val="24"/>
        </w:rPr>
        <w:t>298</w:t>
      </w:r>
      <w:r w:rsidR="00A20C9F">
        <w:rPr>
          <w:sz w:val="24"/>
          <w:szCs w:val="24"/>
        </w:rPr>
        <w:t>.</w:t>
      </w:r>
      <w:r w:rsidR="00AB35AC" w:rsidRPr="004C545C">
        <w:rPr>
          <w:sz w:val="24"/>
          <w:szCs w:val="24"/>
        </w:rPr>
        <w:t>467,12 zł</w:t>
      </w:r>
      <w:r w:rsidRPr="004C545C">
        <w:rPr>
          <w:sz w:val="24"/>
          <w:szCs w:val="24"/>
        </w:rPr>
        <w:t xml:space="preserve">, </w:t>
      </w:r>
      <w:r w:rsidR="00A20C9F">
        <w:rPr>
          <w:sz w:val="24"/>
          <w:szCs w:val="24"/>
        </w:rPr>
        <w:t xml:space="preserve">                                  </w:t>
      </w:r>
      <w:r w:rsidRPr="004C545C">
        <w:rPr>
          <w:sz w:val="24"/>
          <w:szCs w:val="24"/>
        </w:rPr>
        <w:t xml:space="preserve">(co stanowi </w:t>
      </w:r>
      <w:r w:rsidR="00AB35AC" w:rsidRPr="004C545C">
        <w:rPr>
          <w:sz w:val="24"/>
          <w:szCs w:val="24"/>
        </w:rPr>
        <w:t xml:space="preserve">306,55% </w:t>
      </w:r>
      <w:r w:rsidRPr="004C545C">
        <w:rPr>
          <w:sz w:val="24"/>
          <w:szCs w:val="24"/>
        </w:rPr>
        <w:t>planu), w tym:</w:t>
      </w:r>
    </w:p>
    <w:p w14:paraId="2C469D75" w14:textId="71CDC176" w:rsidR="00AB35AC" w:rsidRPr="004C545C" w:rsidRDefault="00AB35AC" w:rsidP="00AB35AC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4C545C">
        <w:rPr>
          <w:sz w:val="24"/>
          <w:szCs w:val="24"/>
        </w:rPr>
        <w:t xml:space="preserve">nadwyżki z lat ubiegłych, pomniejszonej o niewykorzystane środki pieniężne, o których mowa </w:t>
      </w:r>
      <w:r w:rsidR="00A20C9F">
        <w:rPr>
          <w:sz w:val="24"/>
          <w:szCs w:val="24"/>
        </w:rPr>
        <w:t xml:space="preserve">          </w:t>
      </w:r>
      <w:r w:rsidRPr="004C545C">
        <w:rPr>
          <w:sz w:val="24"/>
          <w:szCs w:val="24"/>
        </w:rPr>
        <w:t>w art. 217 ust. 2</w:t>
      </w:r>
      <w:r w:rsidR="00A20C9F">
        <w:rPr>
          <w:sz w:val="24"/>
          <w:szCs w:val="24"/>
        </w:rPr>
        <w:t xml:space="preserve"> </w:t>
      </w:r>
      <w:r w:rsidRPr="004C545C">
        <w:rPr>
          <w:sz w:val="24"/>
          <w:szCs w:val="24"/>
        </w:rPr>
        <w:t>pkt 9 ustawy o finansach publicznych – 5</w:t>
      </w:r>
      <w:r w:rsidR="00A20C9F">
        <w:rPr>
          <w:sz w:val="24"/>
          <w:szCs w:val="24"/>
        </w:rPr>
        <w:t>.</w:t>
      </w:r>
      <w:r w:rsidRPr="004C545C">
        <w:rPr>
          <w:sz w:val="24"/>
          <w:szCs w:val="24"/>
        </w:rPr>
        <w:t>552</w:t>
      </w:r>
      <w:r w:rsidR="00A20C9F">
        <w:rPr>
          <w:sz w:val="24"/>
          <w:szCs w:val="24"/>
        </w:rPr>
        <w:t>.</w:t>
      </w:r>
      <w:r w:rsidRPr="004C545C">
        <w:rPr>
          <w:sz w:val="24"/>
          <w:szCs w:val="24"/>
        </w:rPr>
        <w:t>767,19 zł;</w:t>
      </w:r>
    </w:p>
    <w:p w14:paraId="2C135E02" w14:textId="23C5B7E1" w:rsidR="00AB35AC" w:rsidRPr="004C545C" w:rsidRDefault="00AB35AC" w:rsidP="00AB35AC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4C545C">
        <w:rPr>
          <w:sz w:val="24"/>
          <w:szCs w:val="24"/>
        </w:rPr>
        <w:t>niewykorzystanych środków pieniężnych, o których mowa w art. 217 ust. 2 pkt 9 ustawy</w:t>
      </w:r>
      <w:r w:rsidR="00A20C9F">
        <w:rPr>
          <w:sz w:val="24"/>
          <w:szCs w:val="24"/>
        </w:rPr>
        <w:t xml:space="preserve">                                     </w:t>
      </w:r>
      <w:r w:rsidRPr="004C545C">
        <w:rPr>
          <w:sz w:val="24"/>
          <w:szCs w:val="24"/>
        </w:rPr>
        <w:t xml:space="preserve"> o finansach publicznych – 1</w:t>
      </w:r>
      <w:r w:rsidR="00A20C9F">
        <w:rPr>
          <w:sz w:val="24"/>
          <w:szCs w:val="24"/>
        </w:rPr>
        <w:t>.</w:t>
      </w:r>
      <w:r w:rsidRPr="004C545C">
        <w:rPr>
          <w:sz w:val="24"/>
          <w:szCs w:val="24"/>
        </w:rPr>
        <w:t>745</w:t>
      </w:r>
      <w:r w:rsidR="00A20C9F">
        <w:rPr>
          <w:sz w:val="24"/>
          <w:szCs w:val="24"/>
        </w:rPr>
        <w:t>.</w:t>
      </w:r>
      <w:r w:rsidRPr="004C545C">
        <w:rPr>
          <w:sz w:val="24"/>
          <w:szCs w:val="24"/>
        </w:rPr>
        <w:t>699,93 zł;</w:t>
      </w:r>
    </w:p>
    <w:p w14:paraId="2EBD09B6" w14:textId="77777777" w:rsidR="00C53326" w:rsidRPr="004C545C" w:rsidRDefault="00000000">
      <w:pPr>
        <w:jc w:val="both"/>
        <w:rPr>
          <w:sz w:val="24"/>
          <w:szCs w:val="24"/>
        </w:rPr>
      </w:pPr>
      <w:r w:rsidRPr="004C545C">
        <w:rPr>
          <w:sz w:val="24"/>
          <w:szCs w:val="24"/>
        </w:rPr>
        <w:t xml:space="preserve">Rozchody w pierwszym półroczu 2023 roku </w:t>
      </w:r>
      <w:r w:rsidR="00C53326" w:rsidRPr="004C545C">
        <w:rPr>
          <w:sz w:val="24"/>
          <w:szCs w:val="24"/>
        </w:rPr>
        <w:t xml:space="preserve"> nie wystąpiły. </w:t>
      </w:r>
    </w:p>
    <w:p w14:paraId="2EA9A4D4" w14:textId="77777777" w:rsidR="00C53326" w:rsidRDefault="00C53326" w:rsidP="00A20C9F">
      <w:pPr>
        <w:spacing w:after="0" w:line="240" w:lineRule="auto"/>
        <w:jc w:val="both"/>
        <w:rPr>
          <w:b/>
          <w:bCs/>
        </w:rPr>
      </w:pPr>
    </w:p>
    <w:p w14:paraId="4CE2697D" w14:textId="0BC56468" w:rsidR="00C53326" w:rsidRPr="00A20C9F" w:rsidRDefault="00C53326" w:rsidP="00C53326">
      <w:pPr>
        <w:jc w:val="both"/>
        <w:rPr>
          <w:b/>
          <w:bCs/>
          <w:sz w:val="24"/>
          <w:szCs w:val="24"/>
        </w:rPr>
      </w:pPr>
      <w:r w:rsidRPr="00A20C9F">
        <w:rPr>
          <w:b/>
          <w:bCs/>
          <w:sz w:val="24"/>
          <w:szCs w:val="24"/>
        </w:rPr>
        <w:t>KWOTA DŁUGU</w:t>
      </w:r>
    </w:p>
    <w:p w14:paraId="24C71A1E" w14:textId="24F5CFC1" w:rsidR="00C53326" w:rsidRPr="00A20C9F" w:rsidRDefault="00C53326" w:rsidP="00C53326">
      <w:pPr>
        <w:jc w:val="both"/>
        <w:rPr>
          <w:sz w:val="24"/>
          <w:szCs w:val="24"/>
        </w:rPr>
      </w:pPr>
      <w:r w:rsidRPr="00A20C9F">
        <w:rPr>
          <w:sz w:val="24"/>
          <w:szCs w:val="24"/>
        </w:rPr>
        <w:t>Na koniec pierwszego półrocza 2023 r. Gmina Bledzew nie posiadała zobowiązań.</w:t>
      </w:r>
    </w:p>
    <w:p w14:paraId="08C0DC9F" w14:textId="77777777" w:rsidR="005C0233" w:rsidRPr="00A20C9F" w:rsidRDefault="005C0233" w:rsidP="00A20C9F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3A0FF4CA" w14:textId="2812CB27" w:rsidR="005C0233" w:rsidRPr="00A20C9F" w:rsidRDefault="005C0233" w:rsidP="005C0233">
      <w:pPr>
        <w:autoSpaceDE w:val="0"/>
        <w:autoSpaceDN w:val="0"/>
        <w:adjustRightInd w:val="0"/>
        <w:spacing w:after="240" w:line="240" w:lineRule="auto"/>
        <w:jc w:val="both"/>
        <w:rPr>
          <w:sz w:val="24"/>
          <w:szCs w:val="24"/>
        </w:rPr>
      </w:pPr>
      <w:r w:rsidRPr="00A20C9F">
        <w:rPr>
          <w:b/>
          <w:sz w:val="24"/>
          <w:szCs w:val="24"/>
        </w:rPr>
        <w:t>INFORMACJA O UMORZENIACH NIEPODATKOWYCH NALEŻNOŚCI BUDŻETOWYCH, UDZIELONYCH DO KOŃCA  I</w:t>
      </w:r>
      <w:r w:rsidR="00A20C9F">
        <w:rPr>
          <w:b/>
          <w:sz w:val="24"/>
          <w:szCs w:val="24"/>
        </w:rPr>
        <w:t xml:space="preserve">I </w:t>
      </w:r>
      <w:r w:rsidRPr="00A20C9F">
        <w:rPr>
          <w:b/>
          <w:sz w:val="24"/>
          <w:szCs w:val="24"/>
        </w:rPr>
        <w:t xml:space="preserve"> KWARTAŁU 2023 R</w:t>
      </w:r>
      <w:r w:rsidRPr="00A20C9F">
        <w:rPr>
          <w:sz w:val="24"/>
          <w:szCs w:val="24"/>
        </w:rPr>
        <w:t xml:space="preserve">: </w:t>
      </w:r>
    </w:p>
    <w:p w14:paraId="112EC0AD" w14:textId="77777777" w:rsidR="005C0233" w:rsidRPr="00A20C9F" w:rsidRDefault="005C0233" w:rsidP="00A20C9F">
      <w:pPr>
        <w:pStyle w:val="Default"/>
        <w:numPr>
          <w:ilvl w:val="0"/>
          <w:numId w:val="38"/>
        </w:numPr>
        <w:spacing w:line="276" w:lineRule="auto"/>
        <w:jc w:val="both"/>
        <w:rPr>
          <w:b/>
        </w:rPr>
      </w:pPr>
      <w:r w:rsidRPr="00A20C9F">
        <w:t xml:space="preserve">kwoty dotacji podlegające zwrotowi w przypadkach określonych w niniejszej ustawie </w:t>
      </w:r>
      <w:r w:rsidRPr="00A20C9F">
        <w:rPr>
          <w:b/>
        </w:rPr>
        <w:t>– nie występowały</w:t>
      </w:r>
    </w:p>
    <w:p w14:paraId="49A277C7" w14:textId="77777777" w:rsidR="005C0233" w:rsidRPr="00A20C9F" w:rsidRDefault="005C0233" w:rsidP="00A20C9F">
      <w:pPr>
        <w:pStyle w:val="Default"/>
        <w:numPr>
          <w:ilvl w:val="0"/>
          <w:numId w:val="38"/>
        </w:numPr>
        <w:spacing w:line="276" w:lineRule="auto"/>
        <w:jc w:val="both"/>
      </w:pPr>
      <w:r w:rsidRPr="00A20C9F">
        <w:t xml:space="preserve">należności z tytułu gwarancji i poręczeń udzielonych przez Skarb Państwa i jednostki samorządu terytorialnego </w:t>
      </w:r>
      <w:r w:rsidRPr="00A20C9F">
        <w:rPr>
          <w:b/>
        </w:rPr>
        <w:t>– nie występowały.</w:t>
      </w:r>
    </w:p>
    <w:p w14:paraId="78D9D958" w14:textId="77777777" w:rsidR="005C0233" w:rsidRPr="00A20C9F" w:rsidRDefault="005C0233" w:rsidP="00A20C9F">
      <w:pPr>
        <w:pStyle w:val="Default"/>
        <w:numPr>
          <w:ilvl w:val="0"/>
          <w:numId w:val="38"/>
        </w:numPr>
        <w:spacing w:line="276" w:lineRule="auto"/>
        <w:jc w:val="both"/>
      </w:pPr>
      <w:r w:rsidRPr="00A20C9F">
        <w:t xml:space="preserve">wpłaty nadwyżek środków obrotowych samorządowych zakładów budżetowych –  </w:t>
      </w:r>
      <w:r w:rsidRPr="00A20C9F">
        <w:rPr>
          <w:b/>
        </w:rPr>
        <w:t>nie występowały</w:t>
      </w:r>
      <w:r w:rsidRPr="00A20C9F">
        <w:t xml:space="preserve">. </w:t>
      </w:r>
    </w:p>
    <w:p w14:paraId="5873ECD1" w14:textId="77777777" w:rsidR="005C0233" w:rsidRPr="00A20C9F" w:rsidRDefault="005C0233" w:rsidP="00A20C9F">
      <w:pPr>
        <w:pStyle w:val="Default"/>
        <w:numPr>
          <w:ilvl w:val="0"/>
          <w:numId w:val="38"/>
        </w:numPr>
        <w:spacing w:line="276" w:lineRule="auto"/>
        <w:jc w:val="both"/>
      </w:pPr>
      <w:r w:rsidRPr="00A20C9F">
        <w:t xml:space="preserve">wpłaty nadwyżek środków finansowych agencji wykonawczych – </w:t>
      </w:r>
      <w:r w:rsidRPr="00A20C9F">
        <w:rPr>
          <w:b/>
        </w:rPr>
        <w:t>nie występowały</w:t>
      </w:r>
      <w:r w:rsidRPr="00A20C9F">
        <w:t xml:space="preserve">. </w:t>
      </w:r>
    </w:p>
    <w:p w14:paraId="725104D6" w14:textId="77777777" w:rsidR="005C0233" w:rsidRPr="00A20C9F" w:rsidRDefault="005C0233" w:rsidP="00A20C9F">
      <w:pPr>
        <w:pStyle w:val="Default"/>
        <w:numPr>
          <w:ilvl w:val="0"/>
          <w:numId w:val="38"/>
        </w:numPr>
        <w:spacing w:line="276" w:lineRule="auto"/>
        <w:jc w:val="both"/>
      </w:pPr>
      <w:r w:rsidRPr="00A20C9F">
        <w:t xml:space="preserve">wpłaty środków z tytułu rozliczeń realizacji programów przedakcesyjnych  –   </w:t>
      </w:r>
      <w:r w:rsidRPr="00A20C9F">
        <w:rPr>
          <w:b/>
        </w:rPr>
        <w:t>nie występowały</w:t>
      </w:r>
      <w:r w:rsidRPr="00A20C9F">
        <w:t>.</w:t>
      </w:r>
    </w:p>
    <w:p w14:paraId="293369B3" w14:textId="77777777" w:rsidR="005C0233" w:rsidRPr="00A20C9F" w:rsidRDefault="005C0233" w:rsidP="00A20C9F">
      <w:pPr>
        <w:pStyle w:val="Default"/>
        <w:numPr>
          <w:ilvl w:val="0"/>
          <w:numId w:val="38"/>
        </w:numPr>
        <w:spacing w:line="276" w:lineRule="auto"/>
        <w:jc w:val="both"/>
      </w:pPr>
      <w:r w:rsidRPr="00A20C9F">
        <w:t xml:space="preserve">należności z tytułu zwrotu środków przeznaczonych na realizację programów finansowanych                    z udziałem środków europejskich oraz inne należności związane z realizacją projektów finansowanych z udziałem tych środków, a także odsetki od tych środków i od tych należności – </w:t>
      </w:r>
      <w:r w:rsidRPr="00A20C9F">
        <w:rPr>
          <w:b/>
        </w:rPr>
        <w:t>nie występowały</w:t>
      </w:r>
      <w:r w:rsidRPr="00A20C9F">
        <w:t>.</w:t>
      </w:r>
    </w:p>
    <w:p w14:paraId="346AB77E" w14:textId="0B966FBD" w:rsidR="005C0233" w:rsidRPr="00A20C9F" w:rsidRDefault="005C0233" w:rsidP="00A20C9F">
      <w:pPr>
        <w:pStyle w:val="Default"/>
        <w:spacing w:line="276" w:lineRule="auto"/>
        <w:ind w:left="284"/>
        <w:jc w:val="both"/>
      </w:pPr>
      <w:r w:rsidRPr="00A20C9F">
        <w:t xml:space="preserve">6a)  należności z tytułu grzywien nałożonych w drodze mandatu karnego w postępowaniu </w:t>
      </w:r>
      <w:r w:rsidR="00A20C9F">
        <w:t xml:space="preserve">                                      </w:t>
      </w:r>
      <w:r w:rsidRPr="00A20C9F">
        <w:t xml:space="preserve"> w sprawach  </w:t>
      </w:r>
    </w:p>
    <w:p w14:paraId="7D0E30D7" w14:textId="77777777" w:rsidR="005C0233" w:rsidRPr="00A20C9F" w:rsidRDefault="005C0233" w:rsidP="00A20C9F">
      <w:pPr>
        <w:pStyle w:val="Default"/>
        <w:spacing w:line="276" w:lineRule="auto"/>
        <w:ind w:left="284"/>
        <w:jc w:val="both"/>
      </w:pPr>
      <w:r w:rsidRPr="00A20C9F">
        <w:t xml:space="preserve">       o wykroczenia oraz w postępowaniu w sprawach o wykroczenia skarbowe –  </w:t>
      </w:r>
      <w:r w:rsidRPr="00A20C9F">
        <w:rPr>
          <w:b/>
        </w:rPr>
        <w:t>nie występowały</w:t>
      </w:r>
      <w:r w:rsidRPr="00A20C9F">
        <w:t xml:space="preserve">.   </w:t>
      </w:r>
    </w:p>
    <w:p w14:paraId="2474A0AB" w14:textId="77777777" w:rsidR="005C0233" w:rsidRPr="00A20C9F" w:rsidRDefault="005C0233" w:rsidP="00A20C9F">
      <w:pPr>
        <w:pStyle w:val="Default"/>
        <w:numPr>
          <w:ilvl w:val="0"/>
          <w:numId w:val="38"/>
        </w:numPr>
        <w:spacing w:line="276" w:lineRule="auto"/>
        <w:jc w:val="both"/>
      </w:pPr>
      <w:r w:rsidRPr="00A20C9F">
        <w:t xml:space="preserve">dochody pobierane przez państwowe i samorządowe jednostki budżetowe na podstawie odrębnych ustaw – </w:t>
      </w:r>
      <w:r w:rsidRPr="00A20C9F">
        <w:rPr>
          <w:b/>
        </w:rPr>
        <w:t xml:space="preserve">nie wystąpiły </w:t>
      </w:r>
      <w:r w:rsidRPr="00A20C9F">
        <w:t xml:space="preserve">  </w:t>
      </w:r>
    </w:p>
    <w:p w14:paraId="29447DA4" w14:textId="378F0610" w:rsidR="005C0233" w:rsidRPr="00A20C9F" w:rsidRDefault="005C0233" w:rsidP="00A20C9F">
      <w:pPr>
        <w:pStyle w:val="Default"/>
        <w:numPr>
          <w:ilvl w:val="0"/>
          <w:numId w:val="38"/>
        </w:numPr>
        <w:spacing w:line="276" w:lineRule="auto"/>
        <w:jc w:val="both"/>
        <w:rPr>
          <w:b/>
        </w:rPr>
      </w:pPr>
      <w:r w:rsidRPr="00A20C9F">
        <w:t xml:space="preserve">pobrane przez jednostkę samorządu terytorialnego dochody związane z realizacją zadań z zakresu administracji rządowej oraz innych zadań zleconych jednostkom samorządu terytorialnego odrębnymi ustawami i nieodprowadzone na rachunek dochodów budżetu państwa </w:t>
      </w:r>
      <w:r w:rsidRPr="00A20C9F">
        <w:rPr>
          <w:b/>
        </w:rPr>
        <w:t>–  1 275,82 zł.</w:t>
      </w:r>
    </w:p>
    <w:p w14:paraId="4394B4ED" w14:textId="77777777" w:rsidR="005C0233" w:rsidRPr="00A20C9F" w:rsidRDefault="005C0233" w:rsidP="00A20C9F">
      <w:pPr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</w:p>
    <w:p w14:paraId="3AEDB25A" w14:textId="77777777" w:rsidR="005C0233" w:rsidRPr="00A20C9F" w:rsidRDefault="005C0233" w:rsidP="00A20C9F">
      <w:pPr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</w:p>
    <w:p w14:paraId="4BE000C2" w14:textId="42F28795" w:rsidR="005C0233" w:rsidRPr="00A20C9F" w:rsidRDefault="005C0233" w:rsidP="00A20C9F">
      <w:pPr>
        <w:spacing w:after="0"/>
        <w:jc w:val="both"/>
        <w:rPr>
          <w:sz w:val="24"/>
          <w:szCs w:val="24"/>
        </w:rPr>
      </w:pPr>
      <w:r w:rsidRPr="00A20C9F">
        <w:rPr>
          <w:sz w:val="24"/>
          <w:szCs w:val="24"/>
        </w:rPr>
        <w:t xml:space="preserve">       Bledzew, dnia 27 lipca 2023 r.</w:t>
      </w:r>
    </w:p>
    <w:bookmarkEnd w:id="0"/>
    <w:p w14:paraId="10593728" w14:textId="77777777" w:rsidR="00C53326" w:rsidRDefault="00C53326">
      <w:pPr>
        <w:jc w:val="both"/>
      </w:pPr>
    </w:p>
    <w:sectPr w:rsidR="00C53326">
      <w:footerReference w:type="even" r:id="rId8"/>
      <w:footerReference w:type="default" r:id="rId9"/>
      <w:footerReference w:type="first" r:id="rId10"/>
      <w:pgSz w:w="11906" w:h="16838"/>
      <w:pgMar w:top="992" w:right="1021" w:bottom="992" w:left="102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90EE" w14:textId="77777777" w:rsidR="00C679A5" w:rsidRDefault="00C679A5">
      <w:pPr>
        <w:spacing w:after="0" w:line="240" w:lineRule="auto"/>
      </w:pPr>
      <w:r>
        <w:separator/>
      </w:r>
    </w:p>
  </w:endnote>
  <w:endnote w:type="continuationSeparator" w:id="0">
    <w:p w14:paraId="4A0963AB" w14:textId="77777777" w:rsidR="00C679A5" w:rsidRDefault="00C6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DC01" w14:textId="77777777" w:rsidR="00EC5B8E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#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219E" w14:textId="77777777" w:rsidR="00EC5B8E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#</w:t>
    </w:r>
    <w:r>
      <w:fldChar w:fldCharType="end"/>
    </w:r>
  </w:p>
  <w:p w14:paraId="6C4B715A" w14:textId="77777777" w:rsidR="00EC5B8E" w:rsidRDefault="00EC5B8E">
    <w:pPr>
      <w:pStyle w:val="Stopka"/>
      <w:ind w:left="-567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2D78" w14:textId="77777777" w:rsidR="00EC5B8E" w:rsidRDefault="00EC5B8E">
    <w:pPr>
      <w:pStyle w:val="Stopka"/>
      <w:ind w:left="-567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002D" w14:textId="77777777" w:rsidR="00C679A5" w:rsidRDefault="00C679A5">
      <w:pPr>
        <w:spacing w:after="0" w:line="240" w:lineRule="auto"/>
      </w:pPr>
      <w:r>
        <w:separator/>
      </w:r>
    </w:p>
  </w:footnote>
  <w:footnote w:type="continuationSeparator" w:id="0">
    <w:p w14:paraId="7A0351DE" w14:textId="77777777" w:rsidR="00C679A5" w:rsidRDefault="00C6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18B8"/>
    <w:multiLevelType w:val="multilevel"/>
    <w:tmpl w:val="4B405502"/>
    <w:lvl w:ilvl="0">
      <w:start w:val="1"/>
      <w:numFmt w:val="bullet"/>
      <w:lvlText w:val="●"/>
      <w:lvlJc w:val="left"/>
      <w:pPr>
        <w:ind w:left="786" w:hanging="360"/>
      </w:pPr>
    </w:lvl>
    <w:lvl w:ilvl="1">
      <w:start w:val="1"/>
      <w:numFmt w:val="bullet"/>
      <w:lvlText w:val="○"/>
      <w:lvlJc w:val="left"/>
      <w:pPr>
        <w:ind w:left="1386" w:hanging="360"/>
      </w:pPr>
    </w:lvl>
    <w:lvl w:ilvl="2">
      <w:start w:val="1"/>
      <w:numFmt w:val="bullet"/>
      <w:lvlText w:val="⁃"/>
      <w:lvlJc w:val="left"/>
      <w:pPr>
        <w:ind w:left="1986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AD676B"/>
    <w:multiLevelType w:val="multilevel"/>
    <w:tmpl w:val="55EE18A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223B36"/>
    <w:multiLevelType w:val="hybridMultilevel"/>
    <w:tmpl w:val="F6BAD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C5D8"/>
    <w:multiLevelType w:val="multilevel"/>
    <w:tmpl w:val="717E68A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083995"/>
    <w:multiLevelType w:val="hybridMultilevel"/>
    <w:tmpl w:val="F076A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982"/>
    <w:multiLevelType w:val="hybridMultilevel"/>
    <w:tmpl w:val="7E087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249D"/>
    <w:multiLevelType w:val="hybridMultilevel"/>
    <w:tmpl w:val="CFE0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9FBF"/>
    <w:multiLevelType w:val="multilevel"/>
    <w:tmpl w:val="5BFAF02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183D2295"/>
    <w:multiLevelType w:val="multilevel"/>
    <w:tmpl w:val="3EFA7D0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18B17914"/>
    <w:multiLevelType w:val="multilevel"/>
    <w:tmpl w:val="4B684D1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B43031C"/>
    <w:multiLevelType w:val="hybridMultilevel"/>
    <w:tmpl w:val="1E84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D913A"/>
    <w:multiLevelType w:val="multilevel"/>
    <w:tmpl w:val="A2FE7F9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22944911"/>
    <w:multiLevelType w:val="hybridMultilevel"/>
    <w:tmpl w:val="A32EC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A696"/>
    <w:multiLevelType w:val="multilevel"/>
    <w:tmpl w:val="A236851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27483732"/>
    <w:multiLevelType w:val="hybridMultilevel"/>
    <w:tmpl w:val="CDE67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6188C"/>
    <w:multiLevelType w:val="multilevel"/>
    <w:tmpl w:val="82C41EE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36A77F4C"/>
    <w:multiLevelType w:val="multilevel"/>
    <w:tmpl w:val="E026B4A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36CD94EB"/>
    <w:multiLevelType w:val="multilevel"/>
    <w:tmpl w:val="E52C627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391F6CE3"/>
    <w:multiLevelType w:val="multilevel"/>
    <w:tmpl w:val="5C2A4DA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433B7B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3D6AC4"/>
    <w:multiLevelType w:val="multilevel"/>
    <w:tmpl w:val="06727B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57C677D"/>
    <w:multiLevelType w:val="hybridMultilevel"/>
    <w:tmpl w:val="FEF0C4E2"/>
    <w:lvl w:ilvl="0" w:tplc="CBD8A3CE">
      <w:start w:val="1"/>
      <w:numFmt w:val="decimal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33071"/>
    <w:multiLevelType w:val="multilevel"/>
    <w:tmpl w:val="60F8781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4AD10A42"/>
    <w:multiLevelType w:val="multilevel"/>
    <w:tmpl w:val="DBF839A6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0" w:firstLine="0"/>
      </w:pPr>
    </w:lvl>
    <w:lvl w:ilvl="3">
      <w:start w:val="1"/>
      <w:numFmt w:val="decimal"/>
      <w:pStyle w:val="Styl3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1608829"/>
    <w:multiLevelType w:val="multilevel"/>
    <w:tmpl w:val="BC76A28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557E19A3"/>
    <w:multiLevelType w:val="multilevel"/>
    <w:tmpl w:val="CE3E9F6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63DB04CC"/>
    <w:multiLevelType w:val="hybridMultilevel"/>
    <w:tmpl w:val="9AE0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18CE"/>
    <w:multiLevelType w:val="multilevel"/>
    <w:tmpl w:val="36907FD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442B4B"/>
    <w:multiLevelType w:val="hybridMultilevel"/>
    <w:tmpl w:val="FFFFFFFF"/>
    <w:lvl w:ilvl="0" w:tplc="3E9EB9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57748C"/>
    <w:multiLevelType w:val="multilevel"/>
    <w:tmpl w:val="109C955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69E71DAD"/>
    <w:multiLevelType w:val="hybridMultilevel"/>
    <w:tmpl w:val="056EA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20EF9"/>
    <w:multiLevelType w:val="hybridMultilevel"/>
    <w:tmpl w:val="FFFFFFFF"/>
    <w:lvl w:ilvl="0" w:tplc="5798B8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A64E3E"/>
    <w:multiLevelType w:val="multilevel"/>
    <w:tmpl w:val="C2B638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D474CF"/>
    <w:multiLevelType w:val="multilevel"/>
    <w:tmpl w:val="896431D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60318467">
    <w:abstractNumId w:val="6"/>
  </w:num>
  <w:num w:numId="2" w16cid:durableId="1473062498">
    <w:abstractNumId w:val="30"/>
  </w:num>
  <w:num w:numId="3" w16cid:durableId="1938830228">
    <w:abstractNumId w:val="4"/>
  </w:num>
  <w:num w:numId="4" w16cid:durableId="800608854">
    <w:abstractNumId w:val="32"/>
  </w:num>
  <w:num w:numId="5" w16cid:durableId="932786681">
    <w:abstractNumId w:val="1"/>
  </w:num>
  <w:num w:numId="6" w16cid:durableId="1218277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766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0304921">
    <w:abstractNumId w:val="9"/>
  </w:num>
  <w:num w:numId="9" w16cid:durableId="1429614038">
    <w:abstractNumId w:val="25"/>
  </w:num>
  <w:num w:numId="10" w16cid:durableId="675770726">
    <w:abstractNumId w:val="33"/>
  </w:num>
  <w:num w:numId="11" w16cid:durableId="2059740615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913511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5908746">
    <w:abstractNumId w:val="5"/>
  </w:num>
  <w:num w:numId="14" w16cid:durableId="2108426692">
    <w:abstractNumId w:val="2"/>
  </w:num>
  <w:num w:numId="15" w16cid:durableId="556940508">
    <w:abstractNumId w:val="10"/>
  </w:num>
  <w:num w:numId="16" w16cid:durableId="462431500">
    <w:abstractNumId w:val="21"/>
  </w:num>
  <w:num w:numId="17" w16cid:durableId="1682735083">
    <w:abstractNumId w:val="23"/>
  </w:num>
  <w:num w:numId="18" w16cid:durableId="510098184">
    <w:abstractNumId w:val="19"/>
  </w:num>
  <w:num w:numId="19" w16cid:durableId="174735297">
    <w:abstractNumId w:val="14"/>
  </w:num>
  <w:num w:numId="20" w16cid:durableId="1311132217">
    <w:abstractNumId w:val="26"/>
  </w:num>
  <w:num w:numId="21" w16cid:durableId="367873646">
    <w:abstractNumId w:val="20"/>
  </w:num>
  <w:num w:numId="22" w16cid:durableId="1472676229">
    <w:abstractNumId w:val="27"/>
  </w:num>
  <w:num w:numId="23" w16cid:durableId="1958754851">
    <w:abstractNumId w:val="18"/>
  </w:num>
  <w:num w:numId="24" w16cid:durableId="1958372639">
    <w:abstractNumId w:val="29"/>
  </w:num>
  <w:num w:numId="25" w16cid:durableId="683484108">
    <w:abstractNumId w:val="22"/>
  </w:num>
  <w:num w:numId="26" w16cid:durableId="2052459133">
    <w:abstractNumId w:val="16"/>
  </w:num>
  <w:num w:numId="27" w16cid:durableId="1293243130">
    <w:abstractNumId w:val="13"/>
  </w:num>
  <w:num w:numId="28" w16cid:durableId="409815637">
    <w:abstractNumId w:val="0"/>
  </w:num>
  <w:num w:numId="29" w16cid:durableId="107704785">
    <w:abstractNumId w:val="17"/>
  </w:num>
  <w:num w:numId="30" w16cid:durableId="947079150">
    <w:abstractNumId w:val="7"/>
  </w:num>
  <w:num w:numId="31" w16cid:durableId="1447307525">
    <w:abstractNumId w:val="24"/>
  </w:num>
  <w:num w:numId="32" w16cid:durableId="1925534076">
    <w:abstractNumId w:val="3"/>
  </w:num>
  <w:num w:numId="33" w16cid:durableId="1958368863">
    <w:abstractNumId w:val="11"/>
  </w:num>
  <w:num w:numId="34" w16cid:durableId="465896283">
    <w:abstractNumId w:val="12"/>
  </w:num>
  <w:num w:numId="35" w16cid:durableId="1649283273">
    <w:abstractNumId w:val="8"/>
  </w:num>
  <w:num w:numId="36" w16cid:durableId="2002737652">
    <w:abstractNumId w:val="15"/>
  </w:num>
  <w:num w:numId="37" w16cid:durableId="723479856">
    <w:abstractNumId w:val="28"/>
  </w:num>
  <w:num w:numId="38" w16cid:durableId="3965194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8E"/>
    <w:rsid w:val="00016286"/>
    <w:rsid w:val="00052CE8"/>
    <w:rsid w:val="000531B8"/>
    <w:rsid w:val="00082511"/>
    <w:rsid w:val="00095AE6"/>
    <w:rsid w:val="00183760"/>
    <w:rsid w:val="001A44D0"/>
    <w:rsid w:val="001B4D62"/>
    <w:rsid w:val="001D5E6F"/>
    <w:rsid w:val="00203382"/>
    <w:rsid w:val="00220B79"/>
    <w:rsid w:val="00224893"/>
    <w:rsid w:val="0034264F"/>
    <w:rsid w:val="003A73B0"/>
    <w:rsid w:val="00406814"/>
    <w:rsid w:val="0047084A"/>
    <w:rsid w:val="004A4F76"/>
    <w:rsid w:val="004C545C"/>
    <w:rsid w:val="004E1732"/>
    <w:rsid w:val="004E796B"/>
    <w:rsid w:val="00506720"/>
    <w:rsid w:val="005450C0"/>
    <w:rsid w:val="005B5943"/>
    <w:rsid w:val="005C0233"/>
    <w:rsid w:val="005F7453"/>
    <w:rsid w:val="006664B9"/>
    <w:rsid w:val="006762A1"/>
    <w:rsid w:val="00865E9B"/>
    <w:rsid w:val="00894D4C"/>
    <w:rsid w:val="00920E61"/>
    <w:rsid w:val="009771A0"/>
    <w:rsid w:val="0098125B"/>
    <w:rsid w:val="009A0893"/>
    <w:rsid w:val="009B69EC"/>
    <w:rsid w:val="009C2395"/>
    <w:rsid w:val="00A20C9F"/>
    <w:rsid w:val="00A63B74"/>
    <w:rsid w:val="00AA3628"/>
    <w:rsid w:val="00AB35AC"/>
    <w:rsid w:val="00AD4F9E"/>
    <w:rsid w:val="00B25208"/>
    <w:rsid w:val="00B36A50"/>
    <w:rsid w:val="00B80DCA"/>
    <w:rsid w:val="00BD7C2A"/>
    <w:rsid w:val="00BF603F"/>
    <w:rsid w:val="00C53326"/>
    <w:rsid w:val="00C679A5"/>
    <w:rsid w:val="00CE734D"/>
    <w:rsid w:val="00D63323"/>
    <w:rsid w:val="00DC6B3F"/>
    <w:rsid w:val="00DD3A88"/>
    <w:rsid w:val="00DF1E74"/>
    <w:rsid w:val="00E062F2"/>
    <w:rsid w:val="00E11C36"/>
    <w:rsid w:val="00E125B9"/>
    <w:rsid w:val="00E25817"/>
    <w:rsid w:val="00E57719"/>
    <w:rsid w:val="00E85A37"/>
    <w:rsid w:val="00E95AB0"/>
    <w:rsid w:val="00EC5B8E"/>
    <w:rsid w:val="00F06728"/>
    <w:rsid w:val="00F34FCB"/>
    <w:rsid w:val="00F51828"/>
    <w:rsid w:val="00F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DDCD"/>
  <w15:docId w15:val="{D44ACC32-2A1E-483E-9C61-F5E4794A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0C0"/>
    <w:pPr>
      <w:spacing w:line="276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numPr>
        <w:numId w:val="17"/>
      </w:numPr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numPr>
        <w:ilvl w:val="1"/>
        <w:numId w:val="17"/>
      </w:numPr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numPr>
        <w:ilvl w:val="2"/>
        <w:numId w:val="17"/>
      </w:numPr>
      <w:spacing w:before="480" w:after="40" w:line="360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3C3F49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mallCaps/>
      <w:color w:val="234466" w:themeColor="accent1" w:themeShade="BF"/>
    </w:rPr>
  </w:style>
  <w:style w:type="paragraph" w:styleId="Nagwek5">
    <w:name w:val="heading 5"/>
    <w:next w:val="Normalny"/>
    <w:uiPriority w:val="9"/>
    <w:unhideWhenUsed/>
    <w:qFormat/>
    <w:pPr>
      <w:keepNext/>
      <w:spacing w:before="240" w:after="12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before="840" w:after="300" w:line="240" w:lineRule="auto"/>
      <w:contextualSpacing/>
      <w:jc w:val="center"/>
    </w:pPr>
    <w:rPr>
      <w:rFonts w:eastAsiaTheme="majorEastAsia" w:cstheme="majorBidi"/>
      <w:b/>
      <w:color w:val="3C3F49" w:themeColor="text2"/>
      <w:spacing w:val="5"/>
      <w:kern w:val="28"/>
      <w:sz w:val="72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inorEastAsia"/>
      <w:color w:val="auto"/>
      <w:szCs w:val="1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</w:rPr>
  </w:style>
  <w:style w:type="paragraph" w:styleId="Cytat">
    <w:name w:val="Quote"/>
    <w:aliases w:val="Uwaga"/>
    <w:basedOn w:val="Normalny"/>
    <w:next w:val="Normalny"/>
    <w:link w:val="CytatZnak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before="240" w:after="0" w:line="240" w:lineRule="auto"/>
    </w:pPr>
    <w:rPr>
      <w:sz w:val="18"/>
    </w:rPr>
  </w:style>
  <w:style w:type="paragraph" w:styleId="Nagwekspisutreci">
    <w:name w:val="TOC Heading"/>
    <w:basedOn w:val="Nagwek1"/>
    <w:next w:val="Normalny"/>
    <w:qFormat/>
    <w:pPr>
      <w:spacing w:line="259" w:lineRule="auto"/>
      <w:outlineLvl w:val="9"/>
    </w:pPr>
    <w:rPr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pPr>
      <w:spacing w:before="240" w:after="0"/>
    </w:pPr>
    <w:rPr>
      <w:rFonts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pPr>
      <w:spacing w:before="12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pPr>
      <w:spacing w:after="0"/>
      <w:ind w:left="200"/>
    </w:pPr>
    <w:rPr>
      <w:rFonts w:cstheme="minorHAnsi"/>
    </w:rPr>
  </w:style>
  <w:style w:type="paragraph" w:styleId="Spistreci4">
    <w:name w:val="toc 4"/>
    <w:basedOn w:val="Normalny"/>
    <w:next w:val="Normalny"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pPr>
      <w:spacing w:after="0"/>
      <w:ind w:left="1400"/>
    </w:pPr>
    <w:rPr>
      <w:rFonts w:cstheme="minorHAnsi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Legenda">
    <w:name w:val="caption"/>
    <w:basedOn w:val="Normalny"/>
    <w:next w:val="Normalny"/>
    <w:qFormat/>
    <w:pPr>
      <w:spacing w:after="200" w:line="240" w:lineRule="auto"/>
    </w:pPr>
    <w:rPr>
      <w:i/>
      <w:iCs/>
      <w:color w:val="3C3F49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pPr>
      <w:spacing w:after="0" w:line="240" w:lineRule="auto"/>
    </w:pPr>
  </w:style>
  <w:style w:type="paragraph" w:customStyle="1" w:styleId="Styl1">
    <w:name w:val="Styl1"/>
    <w:basedOn w:val="Podtytu"/>
    <w:link w:val="Styl1Znak"/>
    <w:qFormat/>
  </w:style>
  <w:style w:type="paragraph" w:customStyle="1" w:styleId="Naglowek4">
    <w:name w:val="Naglowek 4"/>
    <w:basedOn w:val="Nagwek3"/>
    <w:next w:val="Nagwek4"/>
    <w:qFormat/>
    <w:pPr>
      <w:spacing w:before="120" w:after="120"/>
    </w:pPr>
  </w:style>
  <w:style w:type="paragraph" w:customStyle="1" w:styleId="Styl2">
    <w:name w:val="Styl2"/>
    <w:basedOn w:val="Nagwek3"/>
    <w:next w:val="Naglowek4"/>
    <w:qFormat/>
  </w:style>
  <w:style w:type="paragraph" w:customStyle="1" w:styleId="Styl3">
    <w:name w:val="Styl3"/>
    <w:basedOn w:val="Nagwek3"/>
    <w:qFormat/>
    <w:pPr>
      <w:numPr>
        <w:ilvl w:val="3"/>
      </w:numPr>
    </w:pPr>
  </w:style>
  <w:style w:type="paragraph" w:customStyle="1" w:styleId="Styl31">
    <w:name w:val="Styl31"/>
    <w:basedOn w:val="Nagwek3"/>
    <w:next w:val="Styl3"/>
    <w:qFormat/>
    <w:pPr>
      <w:numPr>
        <w:numId w:val="0"/>
      </w:numPr>
      <w:ind w:left="1080" w:hanging="1080"/>
    </w:pPr>
  </w:style>
  <w:style w:type="paragraph" w:customStyle="1" w:styleId="SmallTitle">
    <w:name w:val="SmallTitle"/>
    <w:basedOn w:val="Normalny"/>
    <w:link w:val="SmallTitleZnak"/>
    <w:qFormat/>
    <w:pPr>
      <w:spacing w:line="259" w:lineRule="auto"/>
      <w:jc w:val="center"/>
    </w:pPr>
    <w:rPr>
      <w:b/>
      <w:bCs/>
    </w:rPr>
  </w:style>
  <w:style w:type="paragraph" w:customStyle="1" w:styleId="SmallSubtitle">
    <w:name w:val="SmallSubtitle"/>
    <w:basedOn w:val="Normalny"/>
    <w:link w:val="SmallSubtitleZnak"/>
    <w:qFormat/>
    <w:pPr>
      <w:keepNext/>
      <w:spacing w:before="240"/>
    </w:pPr>
    <w:rPr>
      <w:b/>
      <w:caps/>
      <w:lang w:val="en-US"/>
    </w:rPr>
  </w:style>
  <w:style w:type="paragraph" w:styleId="Tekstprzypisudolnego">
    <w:name w:val="footnote text"/>
    <w:link w:val="TekstprzypisudolnegoZnak"/>
    <w:semiHidden/>
    <w:pPr>
      <w:spacing w:after="0" w:line="240" w:lineRule="auto"/>
    </w:pPr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character" w:customStyle="1" w:styleId="TytuZnak">
    <w:name w:val="Tytuł Znak"/>
    <w:basedOn w:val="Domylnaczcionkaakapitu"/>
    <w:link w:val="Tytu"/>
    <w:rPr>
      <w:rFonts w:ascii="Times New Roman" w:eastAsiaTheme="majorEastAsia" w:hAnsi="Times New Roman" w:cstheme="majorBidi"/>
      <w:b/>
      <w:color w:val="3C3F49" w:themeColor="text2"/>
      <w:spacing w:val="5"/>
      <w:kern w:val="28"/>
      <w:sz w:val="72"/>
      <w:szCs w:val="48"/>
    </w:rPr>
  </w:style>
  <w:style w:type="character" w:customStyle="1" w:styleId="PodtytuZnak">
    <w:name w:val="Podtytuł Znak"/>
    <w:basedOn w:val="Domylnaczcionkaakapitu"/>
    <w:link w:val="Podtytu"/>
    <w:rPr>
      <w:rFonts w:eastAsiaTheme="minorEastAsia"/>
      <w:color w:val="auto"/>
      <w:szCs w:val="14"/>
    </w:rPr>
  </w:style>
  <w:style w:type="character" w:customStyle="1" w:styleId="Nagwek3Znak">
    <w:name w:val="Nagłówek 3 Znak"/>
    <w:basedOn w:val="Domylnaczcionkaakapitu"/>
    <w:link w:val="Nagwek3"/>
    <w:rPr>
      <w:rFonts w:asciiTheme="majorHAnsi" w:eastAsiaTheme="majorEastAsia" w:hAnsiTheme="majorHAnsi" w:cstheme="majorBidi"/>
      <w:b/>
      <w:smallCaps/>
      <w:color w:val="3C3F49"/>
      <w:sz w:val="20"/>
      <w:szCs w:val="24"/>
    </w:rPr>
  </w:style>
  <w:style w:type="character" w:styleId="Wyrnieniedelikatne">
    <w:name w:val="Subtle Emphasis"/>
    <w:aliases w:val="Źródło"/>
    <w:basedOn w:val="Domylnaczcionkaakapitu"/>
    <w:rPr>
      <w:i/>
      <w:iCs/>
      <w:color w:val="404040" w:themeColor="text1" w:themeTint="BF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hAnsi="Segoe UI" w:cs="Segoe UI"/>
      <w:color w:val="121313" w:themeColor="background2" w:themeShade="19"/>
      <w:sz w:val="18"/>
      <w:szCs w:val="18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rPr>
      <w:i/>
      <w:iCs/>
      <w:color w:val="006139" w:themeColor="accent6"/>
      <w:sz w:val="20"/>
      <w:shd w:val="clear" w:color="auto" w:fill="E1F5F5"/>
    </w:rPr>
  </w:style>
  <w:style w:type="character" w:customStyle="1" w:styleId="CytatZnak">
    <w:name w:val="Cytat Znak"/>
    <w:aliases w:val="Uwaga Znak"/>
    <w:basedOn w:val="Domylnaczcionkaakapitu"/>
    <w:link w:val="Cytat"/>
    <w:rPr>
      <w:i/>
      <w:iCs/>
      <w:color w:val="D90912" w:themeColor="accent4"/>
      <w:sz w:val="20"/>
      <w:shd w:val="clear" w:color="auto" w:fill="FFF5F5"/>
    </w:rPr>
  </w:style>
  <w:style w:type="character" w:customStyle="1" w:styleId="NagwekZnak">
    <w:name w:val="Nagłówek Znak"/>
    <w:basedOn w:val="Domylnaczcionkaakapitu"/>
    <w:link w:val="Nagwek"/>
    <w:rPr>
      <w:color w:val="121313" w:themeColor="background2" w:themeShade="19"/>
      <w:sz w:val="20"/>
    </w:rPr>
  </w:style>
  <w:style w:type="character" w:customStyle="1" w:styleId="StopkaZnak">
    <w:name w:val="Stopka Znak"/>
    <w:basedOn w:val="Domylnaczcionkaakapitu"/>
    <w:link w:val="Stopka"/>
    <w:rPr>
      <w:rFonts w:ascii="Times New Roman" w:hAnsi="Times New Roman"/>
      <w:sz w:val="18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customStyle="1" w:styleId="Styl1Znak">
    <w:name w:val="Styl1 Znak"/>
    <w:basedOn w:val="PodtytuZnak"/>
    <w:link w:val="Styl1"/>
    <w:rPr>
      <w:rFonts w:eastAsiaTheme="minorEastAsia"/>
      <w:color w:val="auto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iCs/>
      <w:smallCaps/>
      <w:color w:val="234466" w:themeColor="accent1" w:themeShade="BF"/>
    </w:rPr>
  </w:style>
  <w:style w:type="character" w:customStyle="1" w:styleId="SmallTitleZnak">
    <w:name w:val="SmallTitle Znak"/>
    <w:basedOn w:val="Domylnaczcionkaakapitu"/>
    <w:link w:val="SmallTitle"/>
    <w:rPr>
      <w:rFonts w:ascii="Times New Roman" w:hAnsi="Times New Roman"/>
      <w:b/>
      <w:bCs/>
    </w:rPr>
  </w:style>
  <w:style w:type="character" w:customStyle="1" w:styleId="SmallSubtitleZnak">
    <w:name w:val="SmallSubtitle Znak"/>
    <w:basedOn w:val="Domylnaczcionkaakapitu"/>
    <w:link w:val="SmallSubtitle"/>
    <w:rPr>
      <w:rFonts w:ascii="Times New Roman" w:hAnsi="Times New Roman"/>
      <w:b/>
      <w:caps/>
      <w:lang w:val="en-US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urulis">
    <w:name w:val="Tabela Curulis"/>
    <w:basedOn w:val="Standardowy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Liczby">
    <w:name w:val="Tabela Curulis Liczby"/>
    <w:basedOn w:val="TabelaCurulis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paragraph" w:customStyle="1" w:styleId="Default">
    <w:name w:val="Default"/>
    <w:rsid w:val="005C0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75EC-6D52-46E9-B8D0-DADF27B5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2809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Sawko</dc:creator>
  <cp:keywords>Curulis Sp. z o.o.</cp:keywords>
  <cp:lastModifiedBy>Emilia EB. Baczkowska</cp:lastModifiedBy>
  <cp:revision>2</cp:revision>
  <cp:lastPrinted>2023-07-27T12:05:00Z</cp:lastPrinted>
  <dcterms:created xsi:type="dcterms:W3CDTF">2023-08-02T06:37:00Z</dcterms:created>
  <dcterms:modified xsi:type="dcterms:W3CDTF">2023-08-02T06:37:00Z</dcterms:modified>
</cp:coreProperties>
</file>